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F2C8AF" w14:textId="77777777" w:rsidR="00592BA7" w:rsidRPr="00436FAA" w:rsidRDefault="00592BA7" w:rsidP="006271F6">
      <w:pPr>
        <w:spacing w:after="240"/>
        <w:rPr>
          <w:rFonts w:ascii="Verdana" w:hAnsi="Verdana"/>
        </w:rPr>
      </w:pPr>
    </w:p>
    <w:p w14:paraId="4C54A472" w14:textId="77777777" w:rsidR="005F7329" w:rsidRPr="00436FAA" w:rsidRDefault="005F7329" w:rsidP="006271F6">
      <w:pPr>
        <w:spacing w:after="240"/>
        <w:rPr>
          <w:rFonts w:ascii="Verdana" w:hAnsi="Verdana"/>
        </w:rPr>
      </w:pPr>
    </w:p>
    <w:p w14:paraId="30352C8D" w14:textId="735F6FA4" w:rsidR="005F7329" w:rsidRPr="00436FAA" w:rsidRDefault="005F7329" w:rsidP="006271F6">
      <w:pPr>
        <w:spacing w:after="240"/>
        <w:rPr>
          <w:rFonts w:ascii="Verdana" w:hAnsi="Verdana"/>
        </w:rPr>
      </w:pPr>
      <w:r w:rsidRPr="00436FAA">
        <w:rPr>
          <w:rFonts w:ascii="Verdana" w:hAnsi="Verdana"/>
        </w:rPr>
        <w:t>Cooperación Técnica Regional No Reembolsable No.</w:t>
      </w:r>
      <w:r w:rsidRPr="00436FAA">
        <w:rPr>
          <w:rFonts w:ascii="Verdana" w:hAnsi="Verdana"/>
        </w:rPr>
        <w:t xml:space="preserve"> </w:t>
      </w:r>
      <w:r w:rsidRPr="00436FAA">
        <w:rPr>
          <w:rFonts w:ascii="Verdana" w:hAnsi="Verdana"/>
        </w:rPr>
        <w:t>ATN/OC-19080-RG. Plataforma Colaborativa Regional para el</w:t>
      </w:r>
      <w:r w:rsidRPr="00436FAA">
        <w:rPr>
          <w:rFonts w:ascii="Verdana" w:hAnsi="Verdana"/>
        </w:rPr>
        <w:t xml:space="preserve"> </w:t>
      </w:r>
      <w:r w:rsidRPr="00436FAA">
        <w:rPr>
          <w:rFonts w:ascii="Verdana" w:hAnsi="Verdana"/>
        </w:rPr>
        <w:t>Fortalecimiento de la Economía Circular de cara a la recuperación</w:t>
      </w:r>
      <w:r w:rsidRPr="00436FAA">
        <w:rPr>
          <w:rFonts w:ascii="Verdana" w:hAnsi="Verdana"/>
        </w:rPr>
        <w:t xml:space="preserve"> </w:t>
      </w:r>
      <w:r w:rsidRPr="00436FAA">
        <w:rPr>
          <w:rFonts w:ascii="Verdana" w:hAnsi="Verdana"/>
        </w:rPr>
        <w:t>post COVID-19 y la mitigación del cambio climático.</w:t>
      </w:r>
    </w:p>
    <w:p w14:paraId="65F4CA4D" w14:textId="77777777" w:rsidR="005F7329" w:rsidRPr="00436FAA" w:rsidRDefault="005F7329" w:rsidP="006271F6">
      <w:pPr>
        <w:spacing w:after="240"/>
        <w:rPr>
          <w:rFonts w:ascii="Verdana" w:hAnsi="Verdana"/>
        </w:rPr>
      </w:pPr>
    </w:p>
    <w:p w14:paraId="13587153" w14:textId="56636E5C" w:rsidR="005F7329" w:rsidRPr="00436FAA" w:rsidRDefault="005F7329" w:rsidP="006271F6">
      <w:pPr>
        <w:spacing w:after="240"/>
        <w:rPr>
          <w:rFonts w:ascii="Verdana" w:hAnsi="Verdana"/>
        </w:rPr>
      </w:pPr>
      <w:r w:rsidRPr="00436FAA">
        <w:rPr>
          <w:rFonts w:ascii="Verdana" w:hAnsi="Verdana"/>
        </w:rPr>
        <w:t>Plan Operativo</w:t>
      </w:r>
    </w:p>
    <w:p w14:paraId="364BD05E" w14:textId="77777777" w:rsidR="005F7329" w:rsidRPr="00436FAA" w:rsidRDefault="005F7329" w:rsidP="006271F6">
      <w:pPr>
        <w:spacing w:after="240"/>
        <w:rPr>
          <w:rFonts w:ascii="Verdana" w:hAnsi="Verdana"/>
        </w:rPr>
      </w:pPr>
    </w:p>
    <w:p w14:paraId="709F3CA5" w14:textId="4C113197" w:rsidR="006271F6" w:rsidRPr="00436FAA" w:rsidRDefault="006271F6" w:rsidP="006271F6">
      <w:pPr>
        <w:spacing w:after="240"/>
        <w:rPr>
          <w:rFonts w:ascii="Verdana" w:hAnsi="Verdana"/>
        </w:rPr>
      </w:pPr>
      <w:r w:rsidRPr="00436FAA">
        <w:rPr>
          <w:rFonts w:ascii="Verdana" w:hAnsi="Verdana"/>
        </w:rPr>
        <w:t>Secretaría Distrital de Ambiente</w:t>
      </w:r>
    </w:p>
    <w:p w14:paraId="33D374D9" w14:textId="77777777" w:rsidR="006271F6" w:rsidRPr="00436FAA" w:rsidRDefault="006271F6" w:rsidP="006271F6">
      <w:pPr>
        <w:spacing w:after="240"/>
        <w:rPr>
          <w:rFonts w:ascii="Verdana" w:hAnsi="Verdana"/>
        </w:rPr>
      </w:pPr>
    </w:p>
    <w:p w14:paraId="0DA7D009" w14:textId="3B137E9C" w:rsidR="006271F6" w:rsidRPr="00436FAA" w:rsidRDefault="006271F6" w:rsidP="006271F6">
      <w:pPr>
        <w:spacing w:after="240"/>
        <w:rPr>
          <w:rFonts w:ascii="Verdana" w:hAnsi="Verdana"/>
        </w:rPr>
      </w:pPr>
      <w:r w:rsidRPr="00436FAA">
        <w:rPr>
          <w:rFonts w:ascii="Verdana" w:hAnsi="Verdana"/>
        </w:rPr>
        <w:t>Documento interno</w:t>
      </w:r>
    </w:p>
    <w:p w14:paraId="212248CA" w14:textId="77777777" w:rsidR="006271F6" w:rsidRPr="00436FAA" w:rsidRDefault="006271F6" w:rsidP="006271F6">
      <w:pPr>
        <w:spacing w:after="240"/>
        <w:rPr>
          <w:rFonts w:ascii="Verdana" w:hAnsi="Verdana"/>
        </w:rPr>
      </w:pPr>
    </w:p>
    <w:p w14:paraId="6755D674" w14:textId="3FD1C9C7" w:rsidR="006271F6" w:rsidRPr="00436FAA" w:rsidRDefault="006271F6" w:rsidP="006271F6">
      <w:pPr>
        <w:spacing w:after="240"/>
        <w:rPr>
          <w:rFonts w:ascii="Verdana" w:hAnsi="Verdana"/>
        </w:rPr>
      </w:pPr>
      <w:r w:rsidRPr="00436FAA">
        <w:rPr>
          <w:rFonts w:ascii="Verdana" w:hAnsi="Verdana"/>
        </w:rPr>
        <w:t>2025</w:t>
      </w:r>
    </w:p>
    <w:p w14:paraId="6E369D93" w14:textId="77777777" w:rsidR="006271F6" w:rsidRPr="00436FAA" w:rsidRDefault="006271F6">
      <w:pPr>
        <w:rPr>
          <w:rFonts w:ascii="Verdana" w:hAnsi="Verdana"/>
        </w:rPr>
      </w:pPr>
      <w:r w:rsidRPr="00436FAA">
        <w:rPr>
          <w:rFonts w:ascii="Verdana" w:hAnsi="Verdana"/>
        </w:rPr>
        <w:br w:type="page"/>
      </w:r>
    </w:p>
    <w:sdt>
      <w:sdtPr>
        <w:rPr>
          <w:lang w:val="es-CO"/>
        </w:rPr>
        <w:id w:val="-244641713"/>
        <w:docPartObj>
          <w:docPartGallery w:val="Table of Contents"/>
          <w:docPartUnique/>
        </w:docPartObj>
      </w:sdtPr>
      <w:sdtEndPr>
        <w:rPr>
          <w:rFonts w:ascii="Arial" w:eastAsia="Arial" w:hAnsi="Arial" w:cs="Arial"/>
          <w:b/>
          <w:bCs/>
          <w:color w:val="auto"/>
          <w:sz w:val="22"/>
          <w:szCs w:val="22"/>
          <w:lang w:eastAsia="es-CO"/>
        </w:rPr>
      </w:sdtEndPr>
      <w:sdtContent>
        <w:p w14:paraId="19E4D331" w14:textId="1F59F5FE" w:rsidR="006271F6" w:rsidRPr="00436FAA" w:rsidRDefault="006271F6">
          <w:pPr>
            <w:pStyle w:val="TOCHeading"/>
            <w:rPr>
              <w:lang w:val="es-CO"/>
            </w:rPr>
          </w:pPr>
          <w:r w:rsidRPr="00436FAA">
            <w:rPr>
              <w:lang w:val="es-CO"/>
            </w:rPr>
            <w:t>Tabla de contenido</w:t>
          </w:r>
        </w:p>
        <w:p w14:paraId="1FE92BD2" w14:textId="77777777" w:rsidR="00436FAA" w:rsidRPr="00436FAA" w:rsidRDefault="00436FAA" w:rsidP="00436FAA">
          <w:pPr>
            <w:rPr>
              <w:lang w:eastAsia="en-US"/>
            </w:rPr>
          </w:pPr>
        </w:p>
        <w:p w14:paraId="785067E0" w14:textId="22415862" w:rsidR="00436FAA" w:rsidRPr="00436FAA" w:rsidRDefault="006271F6">
          <w:pPr>
            <w:pStyle w:val="TOC1"/>
            <w:tabs>
              <w:tab w:val="left" w:pos="480"/>
              <w:tab w:val="right" w:pos="9019"/>
            </w:tabs>
            <w:rPr>
              <w:rFonts w:asciiTheme="minorHAnsi" w:eastAsiaTheme="minorEastAsia" w:hAnsiTheme="minorHAnsi" w:cstheme="minorBidi"/>
              <w:kern w:val="2"/>
              <w:sz w:val="24"/>
              <w:szCs w:val="24"/>
              <w14:ligatures w14:val="standardContextual"/>
            </w:rPr>
          </w:pPr>
          <w:r w:rsidRPr="00436FAA">
            <w:fldChar w:fldCharType="begin"/>
          </w:r>
          <w:r w:rsidRPr="00436FAA">
            <w:instrText xml:space="preserve"> TOC \o "1-3" \h \z \u </w:instrText>
          </w:r>
          <w:r w:rsidRPr="00436FAA">
            <w:fldChar w:fldCharType="separate"/>
          </w:r>
          <w:hyperlink w:anchor="_Toc226720791" w:history="1">
            <w:r w:rsidR="00436FAA" w:rsidRPr="00436FAA">
              <w:rPr>
                <w:rStyle w:val="Hyperlink"/>
              </w:rPr>
              <w:t>1.</w:t>
            </w:r>
            <w:r w:rsidR="00436FAA" w:rsidRPr="00436FAA">
              <w:rPr>
                <w:rFonts w:asciiTheme="minorHAnsi" w:eastAsiaTheme="minorEastAsia" w:hAnsiTheme="minorHAnsi" w:cstheme="minorBidi"/>
                <w:kern w:val="2"/>
                <w:sz w:val="24"/>
                <w:szCs w:val="24"/>
                <w14:ligatures w14:val="standardContextual"/>
              </w:rPr>
              <w:tab/>
            </w:r>
            <w:r w:rsidR="00436FAA" w:rsidRPr="00436FAA">
              <w:rPr>
                <w:rStyle w:val="Hyperlink"/>
              </w:rPr>
              <w:t>Antecedentes y objeto del proyecto</w:t>
            </w:r>
            <w:r w:rsidR="00436FAA" w:rsidRPr="00436FAA">
              <w:rPr>
                <w:webHidden/>
              </w:rPr>
              <w:tab/>
            </w:r>
            <w:r w:rsidR="00436FAA" w:rsidRPr="00436FAA">
              <w:rPr>
                <w:webHidden/>
              </w:rPr>
              <w:fldChar w:fldCharType="begin"/>
            </w:r>
            <w:r w:rsidR="00436FAA" w:rsidRPr="00436FAA">
              <w:rPr>
                <w:webHidden/>
              </w:rPr>
              <w:instrText xml:space="preserve"> PAGEREF _Toc226720791 \h </w:instrText>
            </w:r>
            <w:r w:rsidR="00436FAA" w:rsidRPr="00436FAA">
              <w:rPr>
                <w:webHidden/>
              </w:rPr>
            </w:r>
            <w:r w:rsidR="00436FAA" w:rsidRPr="00436FAA">
              <w:rPr>
                <w:webHidden/>
              </w:rPr>
              <w:fldChar w:fldCharType="separate"/>
            </w:r>
            <w:r w:rsidR="00436FAA" w:rsidRPr="00436FAA">
              <w:rPr>
                <w:webHidden/>
              </w:rPr>
              <w:t>3</w:t>
            </w:r>
            <w:r w:rsidR="00436FAA" w:rsidRPr="00436FAA">
              <w:rPr>
                <w:webHidden/>
              </w:rPr>
              <w:fldChar w:fldCharType="end"/>
            </w:r>
          </w:hyperlink>
        </w:p>
        <w:p w14:paraId="3FADE247" w14:textId="55560240"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2" w:history="1">
            <w:r w:rsidRPr="00436FAA">
              <w:rPr>
                <w:rStyle w:val="Hyperlink"/>
              </w:rPr>
              <w:t>2.</w:t>
            </w:r>
            <w:r w:rsidRPr="00436FAA">
              <w:rPr>
                <w:rFonts w:asciiTheme="minorHAnsi" w:eastAsiaTheme="minorEastAsia" w:hAnsiTheme="minorHAnsi" w:cstheme="minorBidi"/>
                <w:kern w:val="2"/>
                <w:sz w:val="24"/>
                <w:szCs w:val="24"/>
                <w14:ligatures w14:val="standardContextual"/>
              </w:rPr>
              <w:tab/>
            </w:r>
            <w:r w:rsidRPr="00436FAA">
              <w:rPr>
                <w:rStyle w:val="Hyperlink"/>
              </w:rPr>
              <w:t>Alcance institucional y territorial</w:t>
            </w:r>
            <w:r w:rsidRPr="00436FAA">
              <w:rPr>
                <w:webHidden/>
              </w:rPr>
              <w:tab/>
            </w:r>
            <w:r w:rsidRPr="00436FAA">
              <w:rPr>
                <w:webHidden/>
              </w:rPr>
              <w:fldChar w:fldCharType="begin"/>
            </w:r>
            <w:r w:rsidRPr="00436FAA">
              <w:rPr>
                <w:webHidden/>
              </w:rPr>
              <w:instrText xml:space="preserve"> PAGEREF _Toc226720792 \h </w:instrText>
            </w:r>
            <w:r w:rsidRPr="00436FAA">
              <w:rPr>
                <w:webHidden/>
              </w:rPr>
            </w:r>
            <w:r w:rsidRPr="00436FAA">
              <w:rPr>
                <w:webHidden/>
              </w:rPr>
              <w:fldChar w:fldCharType="separate"/>
            </w:r>
            <w:r w:rsidRPr="00436FAA">
              <w:rPr>
                <w:webHidden/>
              </w:rPr>
              <w:t>3</w:t>
            </w:r>
            <w:r w:rsidRPr="00436FAA">
              <w:rPr>
                <w:webHidden/>
              </w:rPr>
              <w:fldChar w:fldCharType="end"/>
            </w:r>
          </w:hyperlink>
        </w:p>
        <w:p w14:paraId="0CCE98D6" w14:textId="438C13B6"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3" w:history="1">
            <w:r w:rsidRPr="00436FAA">
              <w:rPr>
                <w:rStyle w:val="Hyperlink"/>
              </w:rPr>
              <w:t>3.</w:t>
            </w:r>
            <w:r w:rsidRPr="00436FAA">
              <w:rPr>
                <w:rFonts w:asciiTheme="minorHAnsi" w:eastAsiaTheme="minorEastAsia" w:hAnsiTheme="minorHAnsi" w:cstheme="minorBidi"/>
                <w:kern w:val="2"/>
                <w:sz w:val="24"/>
                <w:szCs w:val="24"/>
                <w14:ligatures w14:val="standardContextual"/>
              </w:rPr>
              <w:tab/>
            </w:r>
            <w:r w:rsidRPr="00436FAA">
              <w:rPr>
                <w:rStyle w:val="Hyperlink"/>
              </w:rPr>
              <w:t>Objetivo del Plan Operativo</w:t>
            </w:r>
            <w:r w:rsidRPr="00436FAA">
              <w:rPr>
                <w:webHidden/>
              </w:rPr>
              <w:tab/>
            </w:r>
            <w:r w:rsidRPr="00436FAA">
              <w:rPr>
                <w:webHidden/>
              </w:rPr>
              <w:fldChar w:fldCharType="begin"/>
            </w:r>
            <w:r w:rsidRPr="00436FAA">
              <w:rPr>
                <w:webHidden/>
              </w:rPr>
              <w:instrText xml:space="preserve"> PAGEREF _Toc226720793 \h </w:instrText>
            </w:r>
            <w:r w:rsidRPr="00436FAA">
              <w:rPr>
                <w:webHidden/>
              </w:rPr>
            </w:r>
            <w:r w:rsidRPr="00436FAA">
              <w:rPr>
                <w:webHidden/>
              </w:rPr>
              <w:fldChar w:fldCharType="separate"/>
            </w:r>
            <w:r w:rsidRPr="00436FAA">
              <w:rPr>
                <w:webHidden/>
              </w:rPr>
              <w:t>3</w:t>
            </w:r>
            <w:r w:rsidRPr="00436FAA">
              <w:rPr>
                <w:webHidden/>
              </w:rPr>
              <w:fldChar w:fldCharType="end"/>
            </w:r>
          </w:hyperlink>
        </w:p>
        <w:p w14:paraId="6CC9F174" w14:textId="0C7DA0E5"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4" w:history="1">
            <w:r w:rsidRPr="00436FAA">
              <w:rPr>
                <w:rStyle w:val="Hyperlink"/>
              </w:rPr>
              <w:t>4.</w:t>
            </w:r>
            <w:r w:rsidRPr="00436FAA">
              <w:rPr>
                <w:rFonts w:asciiTheme="minorHAnsi" w:eastAsiaTheme="minorEastAsia" w:hAnsiTheme="minorHAnsi" w:cstheme="minorBidi"/>
                <w:kern w:val="2"/>
                <w:sz w:val="24"/>
                <w:szCs w:val="24"/>
                <w14:ligatures w14:val="standardContextual"/>
              </w:rPr>
              <w:tab/>
            </w:r>
            <w:r w:rsidRPr="00436FAA">
              <w:rPr>
                <w:rStyle w:val="Hyperlink"/>
              </w:rPr>
              <w:t>Estructura técnica del proyecto</w:t>
            </w:r>
            <w:r w:rsidRPr="00436FAA">
              <w:rPr>
                <w:webHidden/>
              </w:rPr>
              <w:tab/>
            </w:r>
            <w:r w:rsidRPr="00436FAA">
              <w:rPr>
                <w:webHidden/>
              </w:rPr>
              <w:fldChar w:fldCharType="begin"/>
            </w:r>
            <w:r w:rsidRPr="00436FAA">
              <w:rPr>
                <w:webHidden/>
              </w:rPr>
              <w:instrText xml:space="preserve"> PAGEREF _Toc226720794 \h </w:instrText>
            </w:r>
            <w:r w:rsidRPr="00436FAA">
              <w:rPr>
                <w:webHidden/>
              </w:rPr>
            </w:r>
            <w:r w:rsidRPr="00436FAA">
              <w:rPr>
                <w:webHidden/>
              </w:rPr>
              <w:fldChar w:fldCharType="separate"/>
            </w:r>
            <w:r w:rsidRPr="00436FAA">
              <w:rPr>
                <w:webHidden/>
              </w:rPr>
              <w:t>4</w:t>
            </w:r>
            <w:r w:rsidRPr="00436FAA">
              <w:rPr>
                <w:webHidden/>
              </w:rPr>
              <w:fldChar w:fldCharType="end"/>
            </w:r>
          </w:hyperlink>
        </w:p>
        <w:p w14:paraId="1A40D353" w14:textId="6652E63C"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5" w:history="1">
            <w:r w:rsidRPr="00436FAA">
              <w:rPr>
                <w:rStyle w:val="Hyperlink"/>
              </w:rPr>
              <w:t>5.</w:t>
            </w:r>
            <w:r w:rsidRPr="00436FAA">
              <w:rPr>
                <w:rFonts w:asciiTheme="minorHAnsi" w:eastAsiaTheme="minorEastAsia" w:hAnsiTheme="minorHAnsi" w:cstheme="minorBidi"/>
                <w:kern w:val="2"/>
                <w:sz w:val="24"/>
                <w:szCs w:val="24"/>
                <w14:ligatures w14:val="standardContextual"/>
              </w:rPr>
              <w:tab/>
            </w:r>
            <w:r w:rsidRPr="00436FAA">
              <w:rPr>
                <w:rStyle w:val="Hyperlink"/>
              </w:rPr>
              <w:t>Estructura de ejecución y gobernanza</w:t>
            </w:r>
            <w:r w:rsidRPr="00436FAA">
              <w:rPr>
                <w:webHidden/>
              </w:rPr>
              <w:tab/>
            </w:r>
            <w:r w:rsidRPr="00436FAA">
              <w:rPr>
                <w:webHidden/>
              </w:rPr>
              <w:fldChar w:fldCharType="begin"/>
            </w:r>
            <w:r w:rsidRPr="00436FAA">
              <w:rPr>
                <w:webHidden/>
              </w:rPr>
              <w:instrText xml:space="preserve"> PAGEREF _Toc226720795 \h </w:instrText>
            </w:r>
            <w:r w:rsidRPr="00436FAA">
              <w:rPr>
                <w:webHidden/>
              </w:rPr>
            </w:r>
            <w:r w:rsidRPr="00436FAA">
              <w:rPr>
                <w:webHidden/>
              </w:rPr>
              <w:fldChar w:fldCharType="separate"/>
            </w:r>
            <w:r w:rsidRPr="00436FAA">
              <w:rPr>
                <w:webHidden/>
              </w:rPr>
              <w:t>5</w:t>
            </w:r>
            <w:r w:rsidRPr="00436FAA">
              <w:rPr>
                <w:webHidden/>
              </w:rPr>
              <w:fldChar w:fldCharType="end"/>
            </w:r>
          </w:hyperlink>
        </w:p>
        <w:p w14:paraId="43F7C515" w14:textId="595AFC6A"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6" w:history="1">
            <w:r w:rsidRPr="00436FAA">
              <w:rPr>
                <w:rStyle w:val="Hyperlink"/>
              </w:rPr>
              <w:t>6.</w:t>
            </w:r>
            <w:r w:rsidRPr="00436FAA">
              <w:rPr>
                <w:rFonts w:asciiTheme="minorHAnsi" w:eastAsiaTheme="minorEastAsia" w:hAnsiTheme="minorHAnsi" w:cstheme="minorBidi"/>
                <w:kern w:val="2"/>
                <w:sz w:val="24"/>
                <w:szCs w:val="24"/>
                <w14:ligatures w14:val="standardContextual"/>
              </w:rPr>
              <w:tab/>
            </w:r>
            <w:r w:rsidRPr="00436FAA">
              <w:rPr>
                <w:rStyle w:val="Hyperlink"/>
              </w:rPr>
              <w:t>Comité Directivo</w:t>
            </w:r>
            <w:r w:rsidRPr="00436FAA">
              <w:rPr>
                <w:webHidden/>
              </w:rPr>
              <w:tab/>
            </w:r>
            <w:r w:rsidRPr="00436FAA">
              <w:rPr>
                <w:webHidden/>
              </w:rPr>
              <w:fldChar w:fldCharType="begin"/>
            </w:r>
            <w:r w:rsidRPr="00436FAA">
              <w:rPr>
                <w:webHidden/>
              </w:rPr>
              <w:instrText xml:space="preserve"> PAGEREF _Toc226720796 \h </w:instrText>
            </w:r>
            <w:r w:rsidRPr="00436FAA">
              <w:rPr>
                <w:webHidden/>
              </w:rPr>
            </w:r>
            <w:r w:rsidRPr="00436FAA">
              <w:rPr>
                <w:webHidden/>
              </w:rPr>
              <w:fldChar w:fldCharType="separate"/>
            </w:r>
            <w:r w:rsidRPr="00436FAA">
              <w:rPr>
                <w:webHidden/>
              </w:rPr>
              <w:t>5</w:t>
            </w:r>
            <w:r w:rsidRPr="00436FAA">
              <w:rPr>
                <w:webHidden/>
              </w:rPr>
              <w:fldChar w:fldCharType="end"/>
            </w:r>
          </w:hyperlink>
        </w:p>
        <w:p w14:paraId="13509DBC" w14:textId="1247407D"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7" w:history="1">
            <w:r w:rsidRPr="00436FAA">
              <w:rPr>
                <w:rStyle w:val="Hyperlink"/>
              </w:rPr>
              <w:t>7.</w:t>
            </w:r>
            <w:r w:rsidRPr="00436FAA">
              <w:rPr>
                <w:rFonts w:asciiTheme="minorHAnsi" w:eastAsiaTheme="minorEastAsia" w:hAnsiTheme="minorHAnsi" w:cstheme="minorBidi"/>
                <w:kern w:val="2"/>
                <w:sz w:val="24"/>
                <w:szCs w:val="24"/>
                <w14:ligatures w14:val="standardContextual"/>
              </w:rPr>
              <w:tab/>
            </w:r>
            <w:r w:rsidRPr="00436FAA">
              <w:rPr>
                <w:rStyle w:val="Hyperlink"/>
              </w:rPr>
              <w:t>Reglas de aprobación y gestión de cambios</w:t>
            </w:r>
            <w:r w:rsidRPr="00436FAA">
              <w:rPr>
                <w:webHidden/>
              </w:rPr>
              <w:tab/>
            </w:r>
            <w:r w:rsidRPr="00436FAA">
              <w:rPr>
                <w:webHidden/>
              </w:rPr>
              <w:fldChar w:fldCharType="begin"/>
            </w:r>
            <w:r w:rsidRPr="00436FAA">
              <w:rPr>
                <w:webHidden/>
              </w:rPr>
              <w:instrText xml:space="preserve"> PAGEREF _Toc226720797 \h </w:instrText>
            </w:r>
            <w:r w:rsidRPr="00436FAA">
              <w:rPr>
                <w:webHidden/>
              </w:rPr>
            </w:r>
            <w:r w:rsidRPr="00436FAA">
              <w:rPr>
                <w:webHidden/>
              </w:rPr>
              <w:fldChar w:fldCharType="separate"/>
            </w:r>
            <w:r w:rsidRPr="00436FAA">
              <w:rPr>
                <w:webHidden/>
              </w:rPr>
              <w:t>6</w:t>
            </w:r>
            <w:r w:rsidRPr="00436FAA">
              <w:rPr>
                <w:webHidden/>
              </w:rPr>
              <w:fldChar w:fldCharType="end"/>
            </w:r>
          </w:hyperlink>
        </w:p>
        <w:p w14:paraId="16BFE661" w14:textId="54AEC5AB"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8" w:history="1">
            <w:r w:rsidRPr="00436FAA">
              <w:rPr>
                <w:rStyle w:val="Hyperlink"/>
              </w:rPr>
              <w:t>8.</w:t>
            </w:r>
            <w:r w:rsidRPr="00436FAA">
              <w:rPr>
                <w:rFonts w:asciiTheme="minorHAnsi" w:eastAsiaTheme="minorEastAsia" w:hAnsiTheme="minorHAnsi" w:cstheme="minorBidi"/>
                <w:kern w:val="2"/>
                <w:sz w:val="24"/>
                <w:szCs w:val="24"/>
                <w14:ligatures w14:val="standardContextual"/>
              </w:rPr>
              <w:tab/>
            </w:r>
            <w:r w:rsidRPr="00436FAA">
              <w:rPr>
                <w:rStyle w:val="Hyperlink"/>
              </w:rPr>
              <w:t>Programación operativa anual y semestral</w:t>
            </w:r>
            <w:r w:rsidRPr="00436FAA">
              <w:rPr>
                <w:webHidden/>
              </w:rPr>
              <w:tab/>
            </w:r>
            <w:r w:rsidRPr="00436FAA">
              <w:rPr>
                <w:webHidden/>
              </w:rPr>
              <w:fldChar w:fldCharType="begin"/>
            </w:r>
            <w:r w:rsidRPr="00436FAA">
              <w:rPr>
                <w:webHidden/>
              </w:rPr>
              <w:instrText xml:space="preserve"> PAGEREF _Toc226720798 \h </w:instrText>
            </w:r>
            <w:r w:rsidRPr="00436FAA">
              <w:rPr>
                <w:webHidden/>
              </w:rPr>
            </w:r>
            <w:r w:rsidRPr="00436FAA">
              <w:rPr>
                <w:webHidden/>
              </w:rPr>
              <w:fldChar w:fldCharType="separate"/>
            </w:r>
            <w:r w:rsidRPr="00436FAA">
              <w:rPr>
                <w:webHidden/>
              </w:rPr>
              <w:t>7</w:t>
            </w:r>
            <w:r w:rsidRPr="00436FAA">
              <w:rPr>
                <w:webHidden/>
              </w:rPr>
              <w:fldChar w:fldCharType="end"/>
            </w:r>
          </w:hyperlink>
        </w:p>
        <w:p w14:paraId="5AF5C9BD" w14:textId="3157A82C" w:rsidR="00436FAA" w:rsidRPr="00436FAA" w:rsidRDefault="00436FAA">
          <w:pPr>
            <w:pStyle w:val="TOC1"/>
            <w:tabs>
              <w:tab w:val="left" w:pos="480"/>
              <w:tab w:val="right" w:pos="9019"/>
            </w:tabs>
            <w:rPr>
              <w:rFonts w:asciiTheme="minorHAnsi" w:eastAsiaTheme="minorEastAsia" w:hAnsiTheme="minorHAnsi" w:cstheme="minorBidi"/>
              <w:kern w:val="2"/>
              <w:sz w:val="24"/>
              <w:szCs w:val="24"/>
              <w14:ligatures w14:val="standardContextual"/>
            </w:rPr>
          </w:pPr>
          <w:hyperlink w:anchor="_Toc226720799" w:history="1">
            <w:r w:rsidRPr="00436FAA">
              <w:rPr>
                <w:rStyle w:val="Hyperlink"/>
              </w:rPr>
              <w:t>9.</w:t>
            </w:r>
            <w:r w:rsidRPr="00436FAA">
              <w:rPr>
                <w:rFonts w:asciiTheme="minorHAnsi" w:eastAsiaTheme="minorEastAsia" w:hAnsiTheme="minorHAnsi" w:cstheme="minorBidi"/>
                <w:kern w:val="2"/>
                <w:sz w:val="24"/>
                <w:szCs w:val="24"/>
                <w14:ligatures w14:val="standardContextual"/>
              </w:rPr>
              <w:tab/>
            </w:r>
            <w:r w:rsidRPr="00436FAA">
              <w:rPr>
                <w:rStyle w:val="Hyperlink"/>
              </w:rPr>
              <w:t>Estructura presupuestal del proyecto</w:t>
            </w:r>
            <w:r w:rsidRPr="00436FAA">
              <w:rPr>
                <w:webHidden/>
              </w:rPr>
              <w:tab/>
            </w:r>
            <w:r w:rsidRPr="00436FAA">
              <w:rPr>
                <w:webHidden/>
              </w:rPr>
              <w:fldChar w:fldCharType="begin"/>
            </w:r>
            <w:r w:rsidRPr="00436FAA">
              <w:rPr>
                <w:webHidden/>
              </w:rPr>
              <w:instrText xml:space="preserve"> PAGEREF _Toc226720799 \h </w:instrText>
            </w:r>
            <w:r w:rsidRPr="00436FAA">
              <w:rPr>
                <w:webHidden/>
              </w:rPr>
            </w:r>
            <w:r w:rsidRPr="00436FAA">
              <w:rPr>
                <w:webHidden/>
              </w:rPr>
              <w:fldChar w:fldCharType="separate"/>
            </w:r>
            <w:r w:rsidRPr="00436FAA">
              <w:rPr>
                <w:webHidden/>
              </w:rPr>
              <w:t>7</w:t>
            </w:r>
            <w:r w:rsidRPr="00436FAA">
              <w:rPr>
                <w:webHidden/>
              </w:rPr>
              <w:fldChar w:fldCharType="end"/>
            </w:r>
          </w:hyperlink>
        </w:p>
        <w:p w14:paraId="224941D6" w14:textId="211CA27B"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0" w:history="1">
            <w:r w:rsidRPr="00436FAA">
              <w:rPr>
                <w:rStyle w:val="Hyperlink"/>
              </w:rPr>
              <w:t>10.</w:t>
            </w:r>
            <w:r w:rsidRPr="00436FAA">
              <w:rPr>
                <w:rFonts w:asciiTheme="minorHAnsi" w:eastAsiaTheme="minorEastAsia" w:hAnsiTheme="minorHAnsi" w:cstheme="minorBidi"/>
                <w:kern w:val="2"/>
                <w:sz w:val="24"/>
                <w:szCs w:val="24"/>
                <w14:ligatures w14:val="standardContextual"/>
              </w:rPr>
              <w:tab/>
            </w:r>
            <w:r w:rsidRPr="00436FAA">
              <w:rPr>
                <w:rStyle w:val="Hyperlink"/>
              </w:rPr>
              <w:t>Gestión financiera y desembolsos</w:t>
            </w:r>
            <w:r w:rsidRPr="00436FAA">
              <w:rPr>
                <w:webHidden/>
              </w:rPr>
              <w:tab/>
            </w:r>
            <w:r w:rsidRPr="00436FAA">
              <w:rPr>
                <w:webHidden/>
              </w:rPr>
              <w:fldChar w:fldCharType="begin"/>
            </w:r>
            <w:r w:rsidRPr="00436FAA">
              <w:rPr>
                <w:webHidden/>
              </w:rPr>
              <w:instrText xml:space="preserve"> PAGEREF _Toc226720800 \h </w:instrText>
            </w:r>
            <w:r w:rsidRPr="00436FAA">
              <w:rPr>
                <w:webHidden/>
              </w:rPr>
            </w:r>
            <w:r w:rsidRPr="00436FAA">
              <w:rPr>
                <w:webHidden/>
              </w:rPr>
              <w:fldChar w:fldCharType="separate"/>
            </w:r>
            <w:r w:rsidRPr="00436FAA">
              <w:rPr>
                <w:webHidden/>
              </w:rPr>
              <w:t>7</w:t>
            </w:r>
            <w:r w:rsidRPr="00436FAA">
              <w:rPr>
                <w:webHidden/>
              </w:rPr>
              <w:fldChar w:fldCharType="end"/>
            </w:r>
          </w:hyperlink>
        </w:p>
        <w:p w14:paraId="6F6F70FA" w14:textId="191B592F"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1" w:history="1">
            <w:r w:rsidRPr="00436FAA">
              <w:rPr>
                <w:rStyle w:val="Hyperlink"/>
              </w:rPr>
              <w:t>11.</w:t>
            </w:r>
            <w:r w:rsidRPr="00436FAA">
              <w:rPr>
                <w:rFonts w:asciiTheme="minorHAnsi" w:eastAsiaTheme="minorEastAsia" w:hAnsiTheme="minorHAnsi" w:cstheme="minorBidi"/>
                <w:kern w:val="2"/>
                <w:sz w:val="24"/>
                <w:szCs w:val="24"/>
                <w14:ligatures w14:val="standardContextual"/>
              </w:rPr>
              <w:tab/>
            </w:r>
            <w:r w:rsidRPr="00436FAA">
              <w:rPr>
                <w:rStyle w:val="Hyperlink"/>
              </w:rPr>
              <w:t>Adquisiciones</w:t>
            </w:r>
            <w:r w:rsidRPr="00436FAA">
              <w:rPr>
                <w:webHidden/>
              </w:rPr>
              <w:tab/>
            </w:r>
            <w:r w:rsidRPr="00436FAA">
              <w:rPr>
                <w:webHidden/>
              </w:rPr>
              <w:fldChar w:fldCharType="begin"/>
            </w:r>
            <w:r w:rsidRPr="00436FAA">
              <w:rPr>
                <w:webHidden/>
              </w:rPr>
              <w:instrText xml:space="preserve"> PAGEREF _Toc226720801 \h </w:instrText>
            </w:r>
            <w:r w:rsidRPr="00436FAA">
              <w:rPr>
                <w:webHidden/>
              </w:rPr>
            </w:r>
            <w:r w:rsidRPr="00436FAA">
              <w:rPr>
                <w:webHidden/>
              </w:rPr>
              <w:fldChar w:fldCharType="separate"/>
            </w:r>
            <w:r w:rsidRPr="00436FAA">
              <w:rPr>
                <w:webHidden/>
              </w:rPr>
              <w:t>8</w:t>
            </w:r>
            <w:r w:rsidRPr="00436FAA">
              <w:rPr>
                <w:webHidden/>
              </w:rPr>
              <w:fldChar w:fldCharType="end"/>
            </w:r>
          </w:hyperlink>
        </w:p>
        <w:p w14:paraId="214E168A" w14:textId="3136714A"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2" w:history="1">
            <w:r w:rsidRPr="00436FAA">
              <w:rPr>
                <w:rStyle w:val="Hyperlink"/>
              </w:rPr>
              <w:t>12.</w:t>
            </w:r>
            <w:r w:rsidRPr="00436FAA">
              <w:rPr>
                <w:rFonts w:asciiTheme="minorHAnsi" w:eastAsiaTheme="minorEastAsia" w:hAnsiTheme="minorHAnsi" w:cstheme="minorBidi"/>
                <w:kern w:val="2"/>
                <w:sz w:val="24"/>
                <w:szCs w:val="24"/>
                <w14:ligatures w14:val="standardContextual"/>
              </w:rPr>
              <w:tab/>
            </w:r>
            <w:r w:rsidRPr="00436FAA">
              <w:rPr>
                <w:rStyle w:val="Hyperlink"/>
              </w:rPr>
              <w:t>Seguimiento, informes y conservación documental</w:t>
            </w:r>
            <w:r w:rsidRPr="00436FAA">
              <w:rPr>
                <w:webHidden/>
              </w:rPr>
              <w:tab/>
            </w:r>
            <w:r w:rsidRPr="00436FAA">
              <w:rPr>
                <w:webHidden/>
              </w:rPr>
              <w:fldChar w:fldCharType="begin"/>
            </w:r>
            <w:r w:rsidRPr="00436FAA">
              <w:rPr>
                <w:webHidden/>
              </w:rPr>
              <w:instrText xml:space="preserve"> PAGEREF _Toc226720802 \h </w:instrText>
            </w:r>
            <w:r w:rsidRPr="00436FAA">
              <w:rPr>
                <w:webHidden/>
              </w:rPr>
            </w:r>
            <w:r w:rsidRPr="00436FAA">
              <w:rPr>
                <w:webHidden/>
              </w:rPr>
              <w:fldChar w:fldCharType="separate"/>
            </w:r>
            <w:r w:rsidRPr="00436FAA">
              <w:rPr>
                <w:webHidden/>
              </w:rPr>
              <w:t>9</w:t>
            </w:r>
            <w:r w:rsidRPr="00436FAA">
              <w:rPr>
                <w:webHidden/>
              </w:rPr>
              <w:fldChar w:fldCharType="end"/>
            </w:r>
          </w:hyperlink>
        </w:p>
        <w:p w14:paraId="4BC37F61" w14:textId="20622506"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3" w:history="1">
            <w:r w:rsidRPr="00436FAA">
              <w:rPr>
                <w:rStyle w:val="Hyperlink"/>
              </w:rPr>
              <w:t>13.</w:t>
            </w:r>
            <w:r w:rsidRPr="00436FAA">
              <w:rPr>
                <w:rFonts w:asciiTheme="minorHAnsi" w:eastAsiaTheme="minorEastAsia" w:hAnsiTheme="minorHAnsi" w:cstheme="minorBidi"/>
                <w:kern w:val="2"/>
                <w:sz w:val="24"/>
                <w:szCs w:val="24"/>
                <w14:ligatures w14:val="standardContextual"/>
              </w:rPr>
              <w:tab/>
            </w:r>
            <w:r w:rsidRPr="00436FAA">
              <w:rPr>
                <w:rStyle w:val="Hyperlink"/>
              </w:rPr>
              <w:t>Auditoría externa y criterio de prevalencia normativa</w:t>
            </w:r>
            <w:r w:rsidRPr="00436FAA">
              <w:rPr>
                <w:webHidden/>
              </w:rPr>
              <w:tab/>
            </w:r>
            <w:r w:rsidRPr="00436FAA">
              <w:rPr>
                <w:webHidden/>
              </w:rPr>
              <w:fldChar w:fldCharType="begin"/>
            </w:r>
            <w:r w:rsidRPr="00436FAA">
              <w:rPr>
                <w:webHidden/>
              </w:rPr>
              <w:instrText xml:space="preserve"> PAGEREF _Toc226720803 \h </w:instrText>
            </w:r>
            <w:r w:rsidRPr="00436FAA">
              <w:rPr>
                <w:webHidden/>
              </w:rPr>
            </w:r>
            <w:r w:rsidRPr="00436FAA">
              <w:rPr>
                <w:webHidden/>
              </w:rPr>
              <w:fldChar w:fldCharType="separate"/>
            </w:r>
            <w:r w:rsidRPr="00436FAA">
              <w:rPr>
                <w:webHidden/>
              </w:rPr>
              <w:t>9</w:t>
            </w:r>
            <w:r w:rsidRPr="00436FAA">
              <w:rPr>
                <w:webHidden/>
              </w:rPr>
              <w:fldChar w:fldCharType="end"/>
            </w:r>
          </w:hyperlink>
        </w:p>
        <w:p w14:paraId="25FA7E83" w14:textId="75D2AB29"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4" w:history="1">
            <w:r w:rsidRPr="00436FAA">
              <w:rPr>
                <w:rStyle w:val="Hyperlink"/>
              </w:rPr>
              <w:t>14.</w:t>
            </w:r>
            <w:r w:rsidRPr="00436FAA">
              <w:rPr>
                <w:rFonts w:asciiTheme="minorHAnsi" w:eastAsiaTheme="minorEastAsia" w:hAnsiTheme="minorHAnsi" w:cstheme="minorBidi"/>
                <w:kern w:val="2"/>
                <w:sz w:val="24"/>
                <w:szCs w:val="24"/>
                <w14:ligatures w14:val="standardContextual"/>
              </w:rPr>
              <w:tab/>
            </w:r>
            <w:r w:rsidRPr="00436FAA">
              <w:rPr>
                <w:rStyle w:val="Hyperlink"/>
              </w:rPr>
              <w:t>Cierre del proyecto</w:t>
            </w:r>
            <w:r w:rsidRPr="00436FAA">
              <w:rPr>
                <w:webHidden/>
              </w:rPr>
              <w:tab/>
            </w:r>
            <w:r w:rsidRPr="00436FAA">
              <w:rPr>
                <w:webHidden/>
              </w:rPr>
              <w:fldChar w:fldCharType="begin"/>
            </w:r>
            <w:r w:rsidRPr="00436FAA">
              <w:rPr>
                <w:webHidden/>
              </w:rPr>
              <w:instrText xml:space="preserve"> PAGEREF _Toc226720804 \h </w:instrText>
            </w:r>
            <w:r w:rsidRPr="00436FAA">
              <w:rPr>
                <w:webHidden/>
              </w:rPr>
            </w:r>
            <w:r w:rsidRPr="00436FAA">
              <w:rPr>
                <w:webHidden/>
              </w:rPr>
              <w:fldChar w:fldCharType="separate"/>
            </w:r>
            <w:r w:rsidRPr="00436FAA">
              <w:rPr>
                <w:webHidden/>
              </w:rPr>
              <w:t>10</w:t>
            </w:r>
            <w:r w:rsidRPr="00436FAA">
              <w:rPr>
                <w:webHidden/>
              </w:rPr>
              <w:fldChar w:fldCharType="end"/>
            </w:r>
          </w:hyperlink>
        </w:p>
        <w:p w14:paraId="15D42C01" w14:textId="656164E6" w:rsidR="00436FAA" w:rsidRPr="00436FAA" w:rsidRDefault="00436FAA">
          <w:pPr>
            <w:pStyle w:val="TOC1"/>
            <w:tabs>
              <w:tab w:val="left" w:pos="720"/>
              <w:tab w:val="right" w:pos="9019"/>
            </w:tabs>
            <w:rPr>
              <w:rFonts w:asciiTheme="minorHAnsi" w:eastAsiaTheme="minorEastAsia" w:hAnsiTheme="minorHAnsi" w:cstheme="minorBidi"/>
              <w:kern w:val="2"/>
              <w:sz w:val="24"/>
              <w:szCs w:val="24"/>
              <w14:ligatures w14:val="standardContextual"/>
            </w:rPr>
          </w:pPr>
          <w:hyperlink w:anchor="_Toc226720805" w:history="1">
            <w:r w:rsidRPr="00436FAA">
              <w:rPr>
                <w:rStyle w:val="Hyperlink"/>
              </w:rPr>
              <w:t>15.</w:t>
            </w:r>
            <w:r w:rsidRPr="00436FAA">
              <w:rPr>
                <w:rFonts w:asciiTheme="minorHAnsi" w:eastAsiaTheme="minorEastAsia" w:hAnsiTheme="minorHAnsi" w:cstheme="minorBidi"/>
                <w:kern w:val="2"/>
                <w:sz w:val="24"/>
                <w:szCs w:val="24"/>
                <w14:ligatures w14:val="standardContextual"/>
              </w:rPr>
              <w:tab/>
            </w:r>
            <w:r w:rsidRPr="00436FAA">
              <w:rPr>
                <w:rStyle w:val="Hyperlink"/>
              </w:rPr>
              <w:t>Cláusula de ajuste y actualización</w:t>
            </w:r>
            <w:r w:rsidRPr="00436FAA">
              <w:rPr>
                <w:webHidden/>
              </w:rPr>
              <w:tab/>
            </w:r>
            <w:r w:rsidRPr="00436FAA">
              <w:rPr>
                <w:webHidden/>
              </w:rPr>
              <w:fldChar w:fldCharType="begin"/>
            </w:r>
            <w:r w:rsidRPr="00436FAA">
              <w:rPr>
                <w:webHidden/>
              </w:rPr>
              <w:instrText xml:space="preserve"> PAGEREF _Toc226720805 \h </w:instrText>
            </w:r>
            <w:r w:rsidRPr="00436FAA">
              <w:rPr>
                <w:webHidden/>
              </w:rPr>
            </w:r>
            <w:r w:rsidRPr="00436FAA">
              <w:rPr>
                <w:webHidden/>
              </w:rPr>
              <w:fldChar w:fldCharType="separate"/>
            </w:r>
            <w:r w:rsidRPr="00436FAA">
              <w:rPr>
                <w:webHidden/>
              </w:rPr>
              <w:t>10</w:t>
            </w:r>
            <w:r w:rsidRPr="00436FAA">
              <w:rPr>
                <w:webHidden/>
              </w:rPr>
              <w:fldChar w:fldCharType="end"/>
            </w:r>
          </w:hyperlink>
        </w:p>
        <w:p w14:paraId="7A86C8C0" w14:textId="07A8CFA0" w:rsidR="006271F6" w:rsidRPr="00436FAA" w:rsidRDefault="006271F6">
          <w:r w:rsidRPr="00436FAA">
            <w:rPr>
              <w:b/>
              <w:bCs/>
            </w:rPr>
            <w:fldChar w:fldCharType="end"/>
          </w:r>
        </w:p>
      </w:sdtContent>
    </w:sdt>
    <w:p w14:paraId="04A4C2CC" w14:textId="77777777" w:rsidR="006271F6" w:rsidRPr="00436FAA" w:rsidRDefault="006271F6" w:rsidP="006271F6">
      <w:pPr>
        <w:spacing w:after="240"/>
        <w:rPr>
          <w:rFonts w:ascii="Verdana" w:hAnsi="Verdana"/>
        </w:rPr>
      </w:pPr>
    </w:p>
    <w:p w14:paraId="3A6422EC" w14:textId="359C1AC6" w:rsidR="005F7329" w:rsidRPr="00436FAA" w:rsidRDefault="005F7329" w:rsidP="006271F6">
      <w:pPr>
        <w:spacing w:after="240"/>
        <w:rPr>
          <w:rFonts w:ascii="Verdana" w:hAnsi="Verdana"/>
        </w:rPr>
      </w:pPr>
      <w:r w:rsidRPr="00436FAA">
        <w:rPr>
          <w:rFonts w:ascii="Verdana" w:hAnsi="Verdana"/>
        </w:rPr>
        <w:br w:type="page"/>
      </w:r>
    </w:p>
    <w:p w14:paraId="60BBE046" w14:textId="62B307D6" w:rsidR="00436FAA" w:rsidRPr="00436FAA" w:rsidRDefault="00436FAA" w:rsidP="00436FAA">
      <w:pPr>
        <w:pStyle w:val="Heading1"/>
      </w:pPr>
      <w:bookmarkStart w:id="0" w:name="_Toc226720791"/>
      <w:r w:rsidRPr="00436FAA">
        <w:t>Antecedentes y objeto del proyecto</w:t>
      </w:r>
      <w:bookmarkEnd w:id="0"/>
    </w:p>
    <w:p w14:paraId="2297CDC0" w14:textId="77777777" w:rsidR="00436FAA" w:rsidRPr="00436FAA" w:rsidRDefault="00436FAA" w:rsidP="00436FAA">
      <w:pPr>
        <w:spacing w:after="240"/>
        <w:rPr>
          <w:rFonts w:ascii="Verdana" w:hAnsi="Verdana"/>
        </w:rPr>
      </w:pPr>
      <w:r w:rsidRPr="00436FAA">
        <w:rPr>
          <w:rFonts w:ascii="Verdana" w:hAnsi="Verdana"/>
        </w:rPr>
        <w:t xml:space="preserve">La Cooperación Técnica Regional No Reembolsable ATN/OC-19080-RG tiene como finalidad impulsar la transición hacia la economía circular en América Latina y el Caribe mediante tres líneas de acción complementarias: i) el diseño e implementación de una plataforma digital que permita articular la oferta y la demanda de insumos reutilizables entre empresas y fomentar mercados circulares en Bogotá, Lima, Quito y Santiago de Chile; </w:t>
      </w:r>
      <w:proofErr w:type="spellStart"/>
      <w:r w:rsidRPr="00436FAA">
        <w:rPr>
          <w:rFonts w:ascii="Verdana" w:hAnsi="Verdana"/>
        </w:rPr>
        <w:t>ii</w:t>
      </w:r>
      <w:proofErr w:type="spellEnd"/>
      <w:r w:rsidRPr="00436FAA">
        <w:rPr>
          <w:rFonts w:ascii="Verdana" w:hAnsi="Verdana"/>
        </w:rPr>
        <w:t xml:space="preserve">) el fortalecimiento del marco regulatorio y de los planes estratégicos en materia de economía circular en las ciudades beneficiarias; y </w:t>
      </w:r>
      <w:proofErr w:type="spellStart"/>
      <w:r w:rsidRPr="00436FAA">
        <w:rPr>
          <w:rFonts w:ascii="Verdana" w:hAnsi="Verdana"/>
        </w:rPr>
        <w:t>iii</w:t>
      </w:r>
      <w:proofErr w:type="spellEnd"/>
      <w:r w:rsidRPr="00436FAA">
        <w:rPr>
          <w:rFonts w:ascii="Verdana" w:hAnsi="Verdana"/>
        </w:rPr>
        <w:t xml:space="preserve">) el diseño de una caja de herramientas para fortalecer la economía circular desde el sector privado. El proyecto es ejecutado por la Alcaldía Mayor de Bogotá, a través de la Secretaría Distrital de Ambiente, en su calidad de Organismo Ejecutor. </w:t>
      </w:r>
    </w:p>
    <w:p w14:paraId="34BCFCF1" w14:textId="77777777" w:rsidR="00436FAA" w:rsidRPr="00436FAA" w:rsidRDefault="00436FAA" w:rsidP="00436FAA">
      <w:pPr>
        <w:spacing w:after="240"/>
        <w:rPr>
          <w:rFonts w:ascii="Verdana" w:hAnsi="Verdana"/>
        </w:rPr>
      </w:pPr>
      <w:r w:rsidRPr="00436FAA">
        <w:rPr>
          <w:rFonts w:ascii="Verdana" w:hAnsi="Verdana"/>
        </w:rPr>
        <w:t xml:space="preserve">El presente Plan Operativo constituye el instrumento de organización, programación, coordinación, seguimiento y control de las actividades técnicas, administrativas, financieras y contractuales del proyecto. Su propósito es orientar la ejecución integral de la cooperación, asegurar la coherencia entre componentes, ordenar la programación anual y semestral, y servir de soporte para la toma de decisiones, el seguimiento por parte del Comité Directivo y la supervisión del Banco Interamericano de Desarrollo. </w:t>
      </w:r>
    </w:p>
    <w:p w14:paraId="51407A3F" w14:textId="0317BC9B" w:rsidR="00436FAA" w:rsidRPr="00436FAA" w:rsidRDefault="00436FAA" w:rsidP="00436FAA">
      <w:pPr>
        <w:pStyle w:val="Heading1"/>
      </w:pPr>
      <w:bookmarkStart w:id="1" w:name="_Toc226720792"/>
      <w:r w:rsidRPr="00436FAA">
        <w:t>Alcance institucional y territorial</w:t>
      </w:r>
      <w:bookmarkEnd w:id="1"/>
    </w:p>
    <w:p w14:paraId="319EB4C7" w14:textId="77777777" w:rsidR="00436FAA" w:rsidRPr="00436FAA" w:rsidRDefault="00436FAA" w:rsidP="00436FAA">
      <w:pPr>
        <w:spacing w:after="240"/>
        <w:rPr>
          <w:rFonts w:ascii="Verdana" w:hAnsi="Verdana"/>
        </w:rPr>
      </w:pPr>
      <w:r w:rsidRPr="00436FAA">
        <w:rPr>
          <w:rFonts w:ascii="Verdana" w:hAnsi="Verdana"/>
        </w:rPr>
        <w:t xml:space="preserve">El proyecto tiene alcance regional y beneficia a cuatro ciudades: Bogotá, Lima, Quito y Santiago de Chile. En ese marco, el Reglamento Operativo final establece que los beneficiarios son la Alcaldía Mayor de Bogotá, la Dirección Regional Metropolitana de CORFO de Santiago de Chile, el Municipio del Distrito Metropolitano de Quito y la Municipalidad Metropolitana de Lima. Esta definición debe mantenerse de forma uniforme en todo el expediente y en los documentos operativos del proyecto. </w:t>
      </w:r>
    </w:p>
    <w:p w14:paraId="308A13BB" w14:textId="6E1AE552" w:rsidR="00436FAA" w:rsidRPr="00436FAA" w:rsidRDefault="00436FAA" w:rsidP="00436FAA">
      <w:pPr>
        <w:pStyle w:val="Heading1"/>
      </w:pPr>
      <w:bookmarkStart w:id="2" w:name="_Toc226720793"/>
      <w:r w:rsidRPr="00436FAA">
        <w:t>Objetivo del Plan Operativo</w:t>
      </w:r>
      <w:bookmarkEnd w:id="2"/>
    </w:p>
    <w:p w14:paraId="3C23B3D1" w14:textId="77777777" w:rsidR="00436FAA" w:rsidRPr="00436FAA" w:rsidRDefault="00436FAA" w:rsidP="00436FAA">
      <w:pPr>
        <w:spacing w:after="240"/>
        <w:rPr>
          <w:rFonts w:ascii="Verdana" w:hAnsi="Verdana"/>
        </w:rPr>
      </w:pPr>
      <w:r w:rsidRPr="00436FAA">
        <w:rPr>
          <w:rFonts w:ascii="Verdana" w:hAnsi="Verdana"/>
        </w:rPr>
        <w:t xml:space="preserve">El objetivo del presente Plan Operativo es establecer la programación de actividades, recursos, mecanismos de coordinación, responsabilidades institucionales, reglas de seguimiento y lineamientos de gestión financiera y contractual requeridos para la ejecución del proyecto ATN/OC-19080-RG. Asimismo, el Plan Operativo permite traducir los objetivos del convenio y del reglamento en una hoja de ruta anual y semestral, articulada con el Plan de Adquisiciones, el Plan Financiero y los informes de avance del proyecto. </w:t>
      </w:r>
    </w:p>
    <w:p w14:paraId="40B62C52" w14:textId="4191067D" w:rsidR="00436FAA" w:rsidRPr="00436FAA" w:rsidRDefault="00436FAA" w:rsidP="00436FAA">
      <w:pPr>
        <w:pStyle w:val="Heading1"/>
      </w:pPr>
      <w:bookmarkStart w:id="3" w:name="_Toc226720794"/>
      <w:r w:rsidRPr="00436FAA">
        <w:t>Estructura técnica del proyecto</w:t>
      </w:r>
      <w:bookmarkEnd w:id="3"/>
    </w:p>
    <w:p w14:paraId="27CF2600" w14:textId="77777777" w:rsidR="00436FAA" w:rsidRPr="00436FAA" w:rsidRDefault="00436FAA" w:rsidP="00436FAA">
      <w:pPr>
        <w:spacing w:after="240"/>
        <w:rPr>
          <w:rFonts w:ascii="Verdana" w:hAnsi="Verdana"/>
        </w:rPr>
      </w:pPr>
      <w:r w:rsidRPr="00436FAA">
        <w:rPr>
          <w:rFonts w:ascii="Verdana" w:hAnsi="Verdana"/>
        </w:rPr>
        <w:t>El proyecto se organiza en tres componentes sustantivos y una línea transversal de administración, monitoreo y evaluación.</w:t>
      </w:r>
    </w:p>
    <w:p w14:paraId="50F18A2B" w14:textId="77777777" w:rsidR="00436FAA" w:rsidRPr="00436FAA" w:rsidRDefault="00436FAA" w:rsidP="00436FAA">
      <w:pPr>
        <w:spacing w:after="240"/>
        <w:rPr>
          <w:rFonts w:ascii="Verdana" w:hAnsi="Verdana"/>
        </w:rPr>
      </w:pPr>
      <w:r w:rsidRPr="00436FAA">
        <w:rPr>
          <w:rFonts w:ascii="Verdana" w:hAnsi="Verdana"/>
        </w:rPr>
        <w:t xml:space="preserve">El </w:t>
      </w:r>
      <w:r w:rsidRPr="00436FAA">
        <w:rPr>
          <w:rFonts w:ascii="Verdana" w:hAnsi="Verdana"/>
          <w:b/>
          <w:bCs/>
        </w:rPr>
        <w:t>Componente 1</w:t>
      </w:r>
      <w:r w:rsidRPr="00436FAA">
        <w:rPr>
          <w:rFonts w:ascii="Verdana" w:hAnsi="Verdana"/>
        </w:rPr>
        <w:t xml:space="preserve"> corresponde al diseño e implementación de una plataforma de economía circular. Este componente financia una plataforma digital de alcance regional para articular la demanda y la oferta de insumos reutilizables entre empresas locales y regionales, fortalecer los mercados al interior de las ciudades e integrar un mercado común entre las ciudades participantes. Incluye también un sistema de indicadores para evaluar los procesos de economía circular derivados de la operación de la plataforma y para hacer seguimiento a la cantidad de residuos o subproductos intercambiados. </w:t>
      </w:r>
    </w:p>
    <w:p w14:paraId="5D4E67FD" w14:textId="77777777" w:rsidR="00436FAA" w:rsidRPr="00436FAA" w:rsidRDefault="00436FAA" w:rsidP="00436FAA">
      <w:pPr>
        <w:spacing w:after="240"/>
        <w:rPr>
          <w:rFonts w:ascii="Verdana" w:hAnsi="Verdana"/>
        </w:rPr>
      </w:pPr>
      <w:r w:rsidRPr="00436FAA">
        <w:rPr>
          <w:rFonts w:ascii="Verdana" w:hAnsi="Verdana"/>
        </w:rPr>
        <w:t xml:space="preserve">El </w:t>
      </w:r>
      <w:r w:rsidRPr="00436FAA">
        <w:rPr>
          <w:rFonts w:ascii="Verdana" w:hAnsi="Verdana"/>
          <w:b/>
          <w:bCs/>
        </w:rPr>
        <w:t>Componente 2</w:t>
      </w:r>
      <w:r w:rsidRPr="00436FAA">
        <w:rPr>
          <w:rFonts w:ascii="Verdana" w:hAnsi="Verdana"/>
        </w:rPr>
        <w:t xml:space="preserve"> corresponde al fortalecimiento del marco regulatorio. Este componente financia el desarrollo de un estudio sobre estrategias y propuestas de política pública para las ciudades beneficiarias, incluyendo características económicas, políticas y normativas, identificación de obstáculos y necesidades para la articulación de actores de la economía circular, y estrategias para facilitar negocios circulares a escala regional. </w:t>
      </w:r>
    </w:p>
    <w:p w14:paraId="23F842FB" w14:textId="77777777" w:rsidR="00436FAA" w:rsidRPr="00436FAA" w:rsidRDefault="00436FAA" w:rsidP="00436FAA">
      <w:pPr>
        <w:spacing w:after="240"/>
        <w:rPr>
          <w:rFonts w:ascii="Verdana" w:hAnsi="Verdana"/>
        </w:rPr>
      </w:pPr>
      <w:r w:rsidRPr="00436FAA">
        <w:rPr>
          <w:rFonts w:ascii="Verdana" w:hAnsi="Verdana"/>
        </w:rPr>
        <w:t xml:space="preserve">El </w:t>
      </w:r>
      <w:r w:rsidRPr="00436FAA">
        <w:rPr>
          <w:rFonts w:ascii="Verdana" w:hAnsi="Verdana"/>
          <w:b/>
          <w:bCs/>
        </w:rPr>
        <w:t>Componente 3</w:t>
      </w:r>
      <w:r w:rsidRPr="00436FAA">
        <w:rPr>
          <w:rFonts w:ascii="Verdana" w:hAnsi="Verdana"/>
        </w:rPr>
        <w:t xml:space="preserve"> corresponde al diseño de una caja de herramientas para el fortalecimiento de la economía circular desde el sector privado. Este componente comprende una guía para el desarrollo de modelos de negocio circular y una guía para el diseño de mecanismos financieros alternativos orientados a impulsar procesos de residuo cero y bajos en carbono, considerando el contexto y los instrumentos existentes en las ciudades beneficiarias. </w:t>
      </w:r>
    </w:p>
    <w:p w14:paraId="062E6A82" w14:textId="77777777" w:rsidR="00436FAA" w:rsidRPr="00436FAA" w:rsidRDefault="00436FAA" w:rsidP="00436FAA">
      <w:pPr>
        <w:spacing w:after="240"/>
        <w:rPr>
          <w:rFonts w:ascii="Verdana" w:hAnsi="Verdana"/>
        </w:rPr>
      </w:pPr>
      <w:r w:rsidRPr="00436FAA">
        <w:rPr>
          <w:rFonts w:ascii="Verdana" w:hAnsi="Verdana"/>
        </w:rPr>
        <w:t xml:space="preserve">De manera transversal, el proyecto incorpora una línea de </w:t>
      </w:r>
      <w:r w:rsidRPr="00436FAA">
        <w:rPr>
          <w:rFonts w:ascii="Verdana" w:hAnsi="Verdana"/>
          <w:b/>
          <w:bCs/>
        </w:rPr>
        <w:t>administración, monitoreo y evaluación</w:t>
      </w:r>
      <w:r w:rsidRPr="00436FAA">
        <w:rPr>
          <w:rFonts w:ascii="Verdana" w:hAnsi="Verdana"/>
        </w:rPr>
        <w:t xml:space="preserve">, que comprende el apoyo administrativo y de seguimiento, la auditoría externa final y la evaluación final del proyecto. </w:t>
      </w:r>
    </w:p>
    <w:p w14:paraId="3DB8B01A" w14:textId="1DD6C8A9" w:rsidR="00436FAA" w:rsidRPr="00436FAA" w:rsidRDefault="00436FAA" w:rsidP="00436FAA">
      <w:pPr>
        <w:pStyle w:val="Heading1"/>
      </w:pPr>
      <w:bookmarkStart w:id="4" w:name="_Toc226720795"/>
      <w:r w:rsidRPr="00436FAA">
        <w:t>Estructura de ejecución y gobernanza</w:t>
      </w:r>
      <w:bookmarkEnd w:id="4"/>
    </w:p>
    <w:p w14:paraId="7148BC18" w14:textId="77777777" w:rsidR="00436FAA" w:rsidRPr="00436FAA" w:rsidRDefault="00436FAA" w:rsidP="00436FAA">
      <w:pPr>
        <w:spacing w:after="240"/>
        <w:rPr>
          <w:rFonts w:ascii="Verdana" w:hAnsi="Verdana"/>
        </w:rPr>
      </w:pPr>
      <w:r w:rsidRPr="00436FAA">
        <w:rPr>
          <w:rFonts w:ascii="Verdana" w:hAnsi="Verdana"/>
        </w:rPr>
        <w:t xml:space="preserve">La ejecución del proyecto y la utilización de los recursos de la contribución serán llevadas a cabo por la Alcaldía Mayor de Bogotá, a través de la Secretaría Distrital de Ambiente, en calidad de Organismo Ejecutor. Para la operación del proyecto se conformará una Unidad Ejecutora del Programa, con apoyo de las áreas técnicas, financieras, contractuales y fiduciarias de la Secretaría. La Unidad Ejecutora contará con un profesional administrativo dedicado a la operación de los fondos de cooperación y a la generación de informes de seguimiento, y se apoyará en profesionales designados por la Secretaría para la coordinación técnica, la gestión del proyecto y el soporte jurídico. </w:t>
      </w:r>
    </w:p>
    <w:p w14:paraId="0E64DF14" w14:textId="77777777" w:rsidR="00436FAA" w:rsidRPr="00436FAA" w:rsidRDefault="00436FAA" w:rsidP="00436FAA">
      <w:pPr>
        <w:spacing w:after="240"/>
        <w:rPr>
          <w:rFonts w:ascii="Verdana" w:hAnsi="Verdana"/>
        </w:rPr>
      </w:pPr>
      <w:r w:rsidRPr="00436FAA">
        <w:rPr>
          <w:rFonts w:ascii="Verdana" w:hAnsi="Verdana"/>
        </w:rPr>
        <w:t xml:space="preserve">Como parte de la contrapartida institucional, el Organismo Ejecutor designará personal para la coordinación del proyecto, la articulación de acciones internas y el acompañamiento jurídico a los procesos contractuales. La Secretaría Distrital de Ambiente, por intermedio de su Dirección de Gestión Corporativa y de sus áreas financiera y contractual, brindará soporte especializado en materia de adquisiciones, desembolsos, registro contable y control financiero. </w:t>
      </w:r>
    </w:p>
    <w:p w14:paraId="4ECECD91" w14:textId="5AB6C893" w:rsidR="00436FAA" w:rsidRPr="00436FAA" w:rsidRDefault="00436FAA" w:rsidP="00436FAA">
      <w:pPr>
        <w:pStyle w:val="Heading1"/>
      </w:pPr>
      <w:bookmarkStart w:id="5" w:name="_Toc226720796"/>
      <w:r w:rsidRPr="00436FAA">
        <w:t>Comité Directivo</w:t>
      </w:r>
      <w:bookmarkEnd w:id="5"/>
    </w:p>
    <w:p w14:paraId="6EB12291" w14:textId="73F5FD33" w:rsidR="00436FAA" w:rsidRPr="00436FAA" w:rsidRDefault="00436FAA" w:rsidP="00436FAA">
      <w:pPr>
        <w:spacing w:after="240"/>
        <w:rPr>
          <w:rFonts w:ascii="Verdana" w:hAnsi="Verdana"/>
        </w:rPr>
      </w:pPr>
      <w:r>
        <w:rPr>
          <w:rFonts w:ascii="Verdana" w:hAnsi="Verdana"/>
        </w:rPr>
        <w:t>E</w:t>
      </w:r>
      <w:r w:rsidRPr="00436FAA">
        <w:rPr>
          <w:rFonts w:ascii="Verdana" w:hAnsi="Verdana"/>
        </w:rPr>
        <w:t xml:space="preserve">l Comité Directivo debe entenderse como la instancia de coordinación entre ciudades y de apoyo al seguimiento del proyecto. Su integración queda definida por el Reglamento Operativo final: estará conformado por </w:t>
      </w:r>
      <w:r w:rsidRPr="00436FAA">
        <w:rPr>
          <w:rFonts w:ascii="Verdana" w:hAnsi="Verdana"/>
          <w:b/>
          <w:bCs/>
        </w:rPr>
        <w:t>un representante de cada ciudad participante del proyecto</w:t>
      </w:r>
      <w:r w:rsidRPr="00436FAA">
        <w:rPr>
          <w:rFonts w:ascii="Verdana" w:hAnsi="Verdana"/>
        </w:rPr>
        <w:t xml:space="preserve">, esto es, Bogotá, Santiago de Chile, Quito y Lima. Esta precisión reemplaza cualquier formulación previa que lo hubiese descrito con una integración más amplia. </w:t>
      </w:r>
    </w:p>
    <w:p w14:paraId="1C880E49" w14:textId="77777777" w:rsidR="00436FAA" w:rsidRPr="00436FAA" w:rsidRDefault="00436FAA" w:rsidP="00436FAA">
      <w:pPr>
        <w:spacing w:after="240"/>
        <w:rPr>
          <w:rFonts w:ascii="Verdana" w:hAnsi="Verdana"/>
        </w:rPr>
      </w:pPr>
      <w:r w:rsidRPr="00436FAA">
        <w:rPr>
          <w:rFonts w:ascii="Verdana" w:hAnsi="Verdana"/>
        </w:rPr>
        <w:t xml:space="preserve">El Comité Directivo apoyará a la Unidad Ejecutora en el monitoreo del programa de trabajo, del plan de adquisiciones y del presupuesto del proyecto, así como de los informes financieros y de avance; revisará los términos de referencia de las contrataciones; y facilitará la coordinación de actividades, el acceso a información, la participación en reuniones y talleres y la revisión de insumos técnicos y productos generados en el marco del proyecto. En esta versión final ajustada no se incorpora al Comité como instancia formal de aprobación de productos para pagos, dado que esa función aparecía en la versión anterior del reglamento, pero ya no está enunciada en el ROP final. </w:t>
      </w:r>
    </w:p>
    <w:p w14:paraId="2A98D8DE" w14:textId="77777777" w:rsidR="00436FAA" w:rsidRPr="00436FAA" w:rsidRDefault="00436FAA" w:rsidP="00436FAA">
      <w:pPr>
        <w:spacing w:after="240"/>
        <w:rPr>
          <w:rFonts w:ascii="Verdana" w:hAnsi="Verdana"/>
        </w:rPr>
      </w:pPr>
      <w:r w:rsidRPr="00436FAA">
        <w:rPr>
          <w:rFonts w:ascii="Verdana" w:hAnsi="Verdana"/>
        </w:rPr>
        <w:t xml:space="preserve">El Comité Directivo se reunirá como mínimo de manera bimestral, pudiendo aumentar su frecuencia cuando sea necesario. Las reuniones podrán ser presenciales o virtuales, serán convocadas por el coordinador principal y podrán incluir invitados adicionales cuando la naturaleza del tema lo amerite. De cada sesión se levantará un acta, y los asistentes contarán con un plazo breve para formular observaciones antes de dar por aprobados los acuerdos y compromisos. </w:t>
      </w:r>
    </w:p>
    <w:p w14:paraId="44C48807" w14:textId="559CC014" w:rsidR="00436FAA" w:rsidRPr="00436FAA" w:rsidRDefault="00436FAA" w:rsidP="00436FAA">
      <w:pPr>
        <w:pStyle w:val="Heading1"/>
      </w:pPr>
      <w:bookmarkStart w:id="6" w:name="_Toc226720797"/>
      <w:r w:rsidRPr="00436FAA">
        <w:t>Reglas de aprobación y gestión de cambios</w:t>
      </w:r>
      <w:bookmarkEnd w:id="6"/>
    </w:p>
    <w:p w14:paraId="0C762920" w14:textId="77777777" w:rsidR="00436FAA" w:rsidRPr="00436FAA" w:rsidRDefault="00436FAA" w:rsidP="00436FAA">
      <w:pPr>
        <w:spacing w:after="240"/>
        <w:rPr>
          <w:rFonts w:ascii="Verdana" w:hAnsi="Verdana"/>
        </w:rPr>
      </w:pPr>
      <w:r w:rsidRPr="00436FAA">
        <w:rPr>
          <w:rFonts w:ascii="Verdana" w:hAnsi="Verdana"/>
        </w:rPr>
        <w:t xml:space="preserve">La aprobación de los términos de referencia ya no requerirá unanimidad. De acuerdo con el ROP final, para lanzar la convocatoria de cualquier término de referencia será suficiente contar con la </w:t>
      </w:r>
      <w:r w:rsidRPr="00436FAA">
        <w:rPr>
          <w:rFonts w:ascii="Verdana" w:hAnsi="Verdana"/>
          <w:b/>
          <w:bCs/>
        </w:rPr>
        <w:t>aprobación por mayoría de los asistentes</w:t>
      </w:r>
      <w:r w:rsidRPr="00436FAA">
        <w:rPr>
          <w:rFonts w:ascii="Verdana" w:hAnsi="Verdana"/>
        </w:rPr>
        <w:t xml:space="preserve"> a la reunión del Comité Directivo en la que se presente la versión final. Esta regla sustituye la formulación previa del reglamento anterior, que exigía unanimidad. </w:t>
      </w:r>
    </w:p>
    <w:p w14:paraId="2C145CE9" w14:textId="77777777" w:rsidR="00436FAA" w:rsidRPr="00436FAA" w:rsidRDefault="00436FAA" w:rsidP="00436FAA">
      <w:pPr>
        <w:spacing w:after="240"/>
        <w:rPr>
          <w:rFonts w:ascii="Verdana" w:hAnsi="Verdana"/>
        </w:rPr>
      </w:pPr>
      <w:r w:rsidRPr="00436FAA">
        <w:rPr>
          <w:rFonts w:ascii="Verdana" w:hAnsi="Verdana"/>
        </w:rPr>
        <w:t xml:space="preserve">Igualmente, cuando sea necesario modificar los términos de referencia después de su aprobación o incluso después de firmado el contrato, el cambio deberá comunicarse al Comité Directivo con su debida justificación, y será necesaria la </w:t>
      </w:r>
      <w:r w:rsidRPr="00436FAA">
        <w:rPr>
          <w:rFonts w:ascii="Verdana" w:hAnsi="Verdana"/>
          <w:b/>
          <w:bCs/>
        </w:rPr>
        <w:t>aprobación de la mayoría del Comité</w:t>
      </w:r>
      <w:r w:rsidRPr="00436FAA">
        <w:rPr>
          <w:rFonts w:ascii="Verdana" w:hAnsi="Verdana"/>
        </w:rPr>
        <w:t xml:space="preserve"> para realizarlo, ya sea en reunión o por escrito. </w:t>
      </w:r>
    </w:p>
    <w:p w14:paraId="243D1789" w14:textId="77777777" w:rsidR="00436FAA" w:rsidRPr="00436FAA" w:rsidRDefault="00436FAA" w:rsidP="00436FAA">
      <w:pPr>
        <w:spacing w:after="240"/>
        <w:rPr>
          <w:rFonts w:ascii="Verdana" w:hAnsi="Verdana"/>
        </w:rPr>
      </w:pPr>
      <w:r w:rsidRPr="00436FAA">
        <w:rPr>
          <w:rFonts w:ascii="Verdana" w:hAnsi="Verdana"/>
        </w:rPr>
        <w:t xml:space="preserve">Por su parte, cuando se requiera extender una consultoría por más de dos meses frente al plazo inicialmente pactado, el ajuste deberá ser informado y justificado ante el Comité Directivo, y en este caso sí se mantendrá la exigencia de </w:t>
      </w:r>
      <w:r w:rsidRPr="00436FAA">
        <w:rPr>
          <w:rFonts w:ascii="Verdana" w:hAnsi="Verdana"/>
          <w:b/>
          <w:bCs/>
        </w:rPr>
        <w:t>aprobación unánime</w:t>
      </w:r>
      <w:r w:rsidRPr="00436FAA">
        <w:rPr>
          <w:rFonts w:ascii="Verdana" w:hAnsi="Verdana"/>
        </w:rPr>
        <w:t xml:space="preserve">. La cancelación anticipada de contratos deberá igualmente ser comunicada al Comité, con aplicación de las reglas internas de la Secretaría Distrital de Ambiente. </w:t>
      </w:r>
    </w:p>
    <w:p w14:paraId="56BCA1C8" w14:textId="6154E2DD" w:rsidR="00436FAA" w:rsidRPr="00436FAA" w:rsidRDefault="00436FAA" w:rsidP="00436FAA">
      <w:pPr>
        <w:pStyle w:val="Heading1"/>
      </w:pPr>
      <w:bookmarkStart w:id="7" w:name="_Toc226720798"/>
      <w:r w:rsidRPr="00436FAA">
        <w:t>Programación operativa anual y semestral</w:t>
      </w:r>
      <w:bookmarkEnd w:id="7"/>
    </w:p>
    <w:p w14:paraId="1D976CA5" w14:textId="77777777" w:rsidR="00436FAA" w:rsidRPr="00436FAA" w:rsidRDefault="00436FAA" w:rsidP="00436FAA">
      <w:pPr>
        <w:spacing w:after="240"/>
        <w:rPr>
          <w:rFonts w:ascii="Verdana" w:hAnsi="Verdana"/>
        </w:rPr>
      </w:pPr>
      <w:r w:rsidRPr="00436FAA">
        <w:rPr>
          <w:rFonts w:ascii="Verdana" w:hAnsi="Verdana"/>
        </w:rPr>
        <w:t xml:space="preserve">El Plan Operativo Anual será presentado por el Organismo Ejecutor, a través de la Unidad Ejecutora del Programa, a más tardar el </w:t>
      </w:r>
      <w:r w:rsidRPr="00436FAA">
        <w:rPr>
          <w:rFonts w:ascii="Verdana" w:hAnsi="Verdana"/>
          <w:b/>
          <w:bCs/>
        </w:rPr>
        <w:t>31 de enero de cada año calendario</w:t>
      </w:r>
      <w:r w:rsidRPr="00436FAA">
        <w:rPr>
          <w:rFonts w:ascii="Verdana" w:hAnsi="Verdana"/>
        </w:rPr>
        <w:t xml:space="preserve">. De dicho POA se desprenderán el PAC para adquisiciones y un Plan Financiero basado en costos de adquisición estimados y otras actividades a ejecutar. La Unidad Ejecutora, con apoyo de las áreas técnicas, administrativas y financieras del Organismo Ejecutor, será responsable de actualizar dicho Plan Financiero. El POA deberá contar con la </w:t>
      </w:r>
      <w:r w:rsidRPr="00436FAA">
        <w:rPr>
          <w:rFonts w:ascii="Verdana" w:hAnsi="Verdana"/>
          <w:b/>
          <w:bCs/>
        </w:rPr>
        <w:t>No Objeción previa del BID</w:t>
      </w:r>
      <w:r w:rsidRPr="00436FAA">
        <w:rPr>
          <w:rFonts w:ascii="Verdana" w:hAnsi="Verdana"/>
        </w:rPr>
        <w:t xml:space="preserve">. </w:t>
      </w:r>
    </w:p>
    <w:p w14:paraId="552FBA80" w14:textId="77777777" w:rsidR="00436FAA" w:rsidRPr="00436FAA" w:rsidRDefault="00436FAA" w:rsidP="00436FAA">
      <w:pPr>
        <w:spacing w:after="240"/>
        <w:rPr>
          <w:rFonts w:ascii="Verdana" w:hAnsi="Verdana"/>
        </w:rPr>
      </w:pPr>
      <w:r w:rsidRPr="00436FAA">
        <w:rPr>
          <w:rFonts w:ascii="Verdana" w:hAnsi="Verdana"/>
        </w:rPr>
        <w:t xml:space="preserve">Adicionalmente, el Organismo Ejecutor deberá presentar al BID, al menos cada seis meses, un presupuesto actualizado del proyecto, correspondiente a las actividades descritas en el POA. La programación semestral deberá articular actividades, cronograma, responsables, productos esperados, estado de contratación, ejecución financiera y riesgos de implementación. </w:t>
      </w:r>
    </w:p>
    <w:p w14:paraId="2312A20F" w14:textId="710718C3" w:rsidR="00436FAA" w:rsidRPr="00436FAA" w:rsidRDefault="00436FAA" w:rsidP="00436FAA">
      <w:pPr>
        <w:pStyle w:val="Heading1"/>
      </w:pPr>
      <w:bookmarkStart w:id="8" w:name="_Toc226720799"/>
      <w:r w:rsidRPr="00436FAA">
        <w:t>Estructura presupuestal del proyecto</w:t>
      </w:r>
      <w:bookmarkEnd w:id="8"/>
    </w:p>
    <w:p w14:paraId="1CDFDFF6" w14:textId="77777777" w:rsidR="00436FAA" w:rsidRPr="00436FAA" w:rsidRDefault="00436FAA" w:rsidP="00436FAA">
      <w:pPr>
        <w:spacing w:after="240"/>
        <w:rPr>
          <w:rFonts w:ascii="Verdana" w:hAnsi="Verdana"/>
        </w:rPr>
      </w:pPr>
      <w:r w:rsidRPr="00436FAA">
        <w:rPr>
          <w:rFonts w:ascii="Verdana" w:hAnsi="Verdana"/>
        </w:rPr>
        <w:t xml:space="preserve">La versión final ajustada del Plan Operativo adopta la matriz presupuestal incorporada en el ROP Ver. 16072025. Esta matriz distingue entre </w:t>
      </w:r>
      <w:r w:rsidRPr="00436FAA">
        <w:rPr>
          <w:rFonts w:ascii="Verdana" w:hAnsi="Verdana"/>
          <w:b/>
          <w:bCs/>
        </w:rPr>
        <w:t>Ejecución Alcaldía</w:t>
      </w:r>
      <w:r w:rsidRPr="00436FAA">
        <w:rPr>
          <w:rFonts w:ascii="Verdana" w:hAnsi="Verdana"/>
        </w:rPr>
        <w:t xml:space="preserve">, </w:t>
      </w:r>
      <w:r w:rsidRPr="00436FAA">
        <w:rPr>
          <w:rFonts w:ascii="Verdana" w:hAnsi="Verdana"/>
          <w:b/>
          <w:bCs/>
        </w:rPr>
        <w:t>Ejecución BID</w:t>
      </w:r>
      <w:r w:rsidRPr="00436FAA">
        <w:rPr>
          <w:rFonts w:ascii="Verdana" w:hAnsi="Verdana"/>
        </w:rPr>
        <w:t xml:space="preserve">, </w:t>
      </w:r>
      <w:r w:rsidRPr="00436FAA">
        <w:rPr>
          <w:rFonts w:ascii="Verdana" w:hAnsi="Verdana"/>
          <w:b/>
          <w:bCs/>
        </w:rPr>
        <w:t>Contrapartida</w:t>
      </w:r>
      <w:r w:rsidRPr="00436FAA">
        <w:rPr>
          <w:rFonts w:ascii="Verdana" w:hAnsi="Verdana"/>
        </w:rPr>
        <w:t xml:space="preserve"> y </w:t>
      </w:r>
      <w:r w:rsidRPr="00436FAA">
        <w:rPr>
          <w:rFonts w:ascii="Verdana" w:hAnsi="Verdana"/>
          <w:b/>
          <w:bCs/>
        </w:rPr>
        <w:t>Total</w:t>
      </w:r>
      <w:r w:rsidRPr="00436FAA">
        <w:rPr>
          <w:rFonts w:ascii="Verdana" w:hAnsi="Verdana"/>
        </w:rPr>
        <w:t xml:space="preserve">. Bajo esta estructura, el componente 1 contempla una consultoría por US$128.000; el componente 2 incorpora recursos de ejecución BID por US$200.000 y una consultoría por US$211.000; el componente 3 conserva una consultoría por US$121.000; y la línea de administración, monitoreo y evaluación integra apoyo administrativo y monitoreo, auditoría externa final y evaluación final, con un total general del proyecto de </w:t>
      </w:r>
      <w:r w:rsidRPr="00436FAA">
        <w:rPr>
          <w:rFonts w:ascii="Verdana" w:hAnsi="Verdana"/>
          <w:b/>
          <w:bCs/>
        </w:rPr>
        <w:t>US$660.000</w:t>
      </w:r>
      <w:r w:rsidRPr="00436FAA">
        <w:rPr>
          <w:rFonts w:ascii="Verdana" w:hAnsi="Verdana"/>
        </w:rPr>
        <w:t xml:space="preserve">. Esta estructura debe ser la base del presupuesto, del PAC, del seguimiento semestral y de cualquier cuadro consolidado del expediente. </w:t>
      </w:r>
    </w:p>
    <w:p w14:paraId="539F90EB" w14:textId="76431018" w:rsidR="00436FAA" w:rsidRPr="00436FAA" w:rsidRDefault="00436FAA" w:rsidP="00436FAA">
      <w:pPr>
        <w:pStyle w:val="Heading1"/>
      </w:pPr>
      <w:bookmarkStart w:id="9" w:name="_Toc226720800"/>
      <w:r w:rsidRPr="00436FAA">
        <w:t>Gestión financiera y desembolsos</w:t>
      </w:r>
      <w:bookmarkEnd w:id="9"/>
    </w:p>
    <w:p w14:paraId="2B877C30" w14:textId="77777777" w:rsidR="00436FAA" w:rsidRPr="00436FAA" w:rsidRDefault="00436FAA" w:rsidP="00436FAA">
      <w:pPr>
        <w:spacing w:after="240"/>
        <w:rPr>
          <w:rFonts w:ascii="Verdana" w:hAnsi="Verdana"/>
        </w:rPr>
      </w:pPr>
      <w:r w:rsidRPr="00436FAA">
        <w:rPr>
          <w:rFonts w:ascii="Verdana" w:hAnsi="Verdana"/>
        </w:rPr>
        <w:t xml:space="preserve">La administración financiera del proyecto deberá garantizar el registro oportuno y ordenado de las operaciones económicas, la generación de reportes sobre avance físico y financiero y la trazabilidad de los pagos, respaldos y justificaciones. La gestión financiera deberá observar criterios de transparencia, control, planeación, presupuesto, contabilidad, ejercicio ordenado del gasto, gestión oportuna de desembolsos, presentación de informes de rendición de cuentas y control interno. </w:t>
      </w:r>
    </w:p>
    <w:p w14:paraId="07B3F7BC" w14:textId="77777777" w:rsidR="00436FAA" w:rsidRPr="00436FAA" w:rsidRDefault="00436FAA" w:rsidP="00436FAA">
      <w:pPr>
        <w:spacing w:after="240"/>
        <w:rPr>
          <w:rFonts w:ascii="Verdana" w:hAnsi="Verdana"/>
        </w:rPr>
      </w:pPr>
      <w:r w:rsidRPr="00436FAA">
        <w:rPr>
          <w:rFonts w:ascii="Verdana" w:hAnsi="Verdana"/>
        </w:rPr>
        <w:t xml:space="preserve">El primer desembolso quedó sujeto al cumplimiento de las condiciones previas establecidas en el convenio: designación de representantes del Organismo Ejecutor, presentación del cronograma para la utilización del aporte, evidencia de un sistema de información financiera y estructura de control interno adecuados, y aprobación y vigencia del Reglamento Operativo del Proyecto. </w:t>
      </w:r>
    </w:p>
    <w:p w14:paraId="1E33A6EA" w14:textId="77777777" w:rsidR="00436FAA" w:rsidRPr="00436FAA" w:rsidRDefault="00436FAA" w:rsidP="00436FAA">
      <w:pPr>
        <w:spacing w:after="240"/>
        <w:rPr>
          <w:rFonts w:ascii="Verdana" w:hAnsi="Verdana"/>
        </w:rPr>
      </w:pPr>
      <w:r w:rsidRPr="00436FAA">
        <w:rPr>
          <w:rFonts w:ascii="Verdana" w:hAnsi="Verdana"/>
        </w:rPr>
        <w:t xml:space="preserve">El proyecto podrá utilizar el mecanismo de </w:t>
      </w:r>
      <w:r w:rsidRPr="00436FAA">
        <w:rPr>
          <w:rFonts w:ascii="Verdana" w:hAnsi="Verdana"/>
          <w:b/>
          <w:bCs/>
        </w:rPr>
        <w:t>anticipo de fondos</w:t>
      </w:r>
      <w:r w:rsidRPr="00436FAA">
        <w:rPr>
          <w:rFonts w:ascii="Verdana" w:hAnsi="Verdana"/>
        </w:rPr>
        <w:t xml:space="preserve">, y el Organismo Ejecutor podrá solicitar desembolsos para atender previsiones periódicas de gastos elegibles. La planificación financiera del proyecto deberá presentarse al Banco como base para la identificación de la elegibilidad de los gastos por categoría y componente. Igualmente, la cuenta designada deberá ser conciliada periódicamente, y el Organismo Ejecutor será responsable de la consistencia de los informes financieros, las rendiciones de gasto y las solicitudes de desembolso. </w:t>
      </w:r>
    </w:p>
    <w:p w14:paraId="3E971AA7" w14:textId="32954C9E" w:rsidR="00436FAA" w:rsidRPr="00436FAA" w:rsidRDefault="00436FAA" w:rsidP="00436FAA">
      <w:pPr>
        <w:pStyle w:val="Heading1"/>
      </w:pPr>
      <w:bookmarkStart w:id="10" w:name="_Toc226720801"/>
      <w:r w:rsidRPr="00436FAA">
        <w:t>Adquisiciones</w:t>
      </w:r>
      <w:bookmarkEnd w:id="10"/>
    </w:p>
    <w:p w14:paraId="45E6429F" w14:textId="77777777" w:rsidR="00436FAA" w:rsidRPr="00436FAA" w:rsidRDefault="00436FAA" w:rsidP="00436FAA">
      <w:pPr>
        <w:spacing w:after="240"/>
        <w:rPr>
          <w:rFonts w:ascii="Verdana" w:hAnsi="Verdana"/>
        </w:rPr>
      </w:pPr>
      <w:r w:rsidRPr="00436FAA">
        <w:rPr>
          <w:rFonts w:ascii="Verdana" w:hAnsi="Verdana"/>
        </w:rPr>
        <w:t xml:space="preserve">El Plan de Adquisiciones es la herramienta de programación y seguimiento de las adquisiciones y contrataciones del proyecto. Deberá mantenerse actualizado al menos anualmente, o con mayor frecuencia según las necesidades del proyecto, y cada versión actualizada deberá ser sometida a revisión y aprobación del Banco. Los procesos de adquisición de bienes y de contratación de servicios deberán seguir criterios de transparencia, competencia, economía, eficiencia y razonabilidad de precios. </w:t>
      </w:r>
    </w:p>
    <w:p w14:paraId="2D96B251" w14:textId="77777777" w:rsidR="00436FAA" w:rsidRPr="00436FAA" w:rsidRDefault="00436FAA" w:rsidP="00436FAA">
      <w:pPr>
        <w:spacing w:after="240"/>
        <w:rPr>
          <w:rFonts w:ascii="Verdana" w:hAnsi="Verdana"/>
        </w:rPr>
      </w:pPr>
      <w:r w:rsidRPr="00436FAA">
        <w:rPr>
          <w:rFonts w:ascii="Verdana" w:hAnsi="Verdana"/>
        </w:rPr>
        <w:t xml:space="preserve">En materia normativa, esta versión final ajustada debe observar una corrección de consistencia jurídica: el convenio establece que las </w:t>
      </w:r>
      <w:r w:rsidRPr="00436FAA">
        <w:rPr>
          <w:rFonts w:ascii="Verdana" w:hAnsi="Verdana"/>
          <w:b/>
          <w:bCs/>
        </w:rPr>
        <w:t>Políticas de Adquisiciones</w:t>
      </w:r>
      <w:r w:rsidRPr="00436FAA">
        <w:rPr>
          <w:rFonts w:ascii="Verdana" w:hAnsi="Verdana"/>
        </w:rPr>
        <w:t xml:space="preserve"> corresponden al documento </w:t>
      </w:r>
      <w:r w:rsidRPr="00436FAA">
        <w:rPr>
          <w:rFonts w:ascii="Verdana" w:hAnsi="Verdana"/>
          <w:b/>
          <w:bCs/>
        </w:rPr>
        <w:t>GN-2349-15</w:t>
      </w:r>
      <w:r w:rsidRPr="00436FAA">
        <w:rPr>
          <w:rFonts w:ascii="Verdana" w:hAnsi="Verdana"/>
        </w:rPr>
        <w:t xml:space="preserve">, mientras que las </w:t>
      </w:r>
      <w:r w:rsidRPr="00436FAA">
        <w:rPr>
          <w:rFonts w:ascii="Verdana" w:hAnsi="Verdana"/>
          <w:b/>
          <w:bCs/>
        </w:rPr>
        <w:t>Políticas de Consultores</w:t>
      </w:r>
      <w:r w:rsidRPr="00436FAA">
        <w:rPr>
          <w:rFonts w:ascii="Verdana" w:hAnsi="Verdana"/>
        </w:rPr>
        <w:t xml:space="preserve"> corresponden al documento </w:t>
      </w:r>
      <w:r w:rsidRPr="00436FAA">
        <w:rPr>
          <w:rFonts w:ascii="Verdana" w:hAnsi="Verdana"/>
          <w:b/>
          <w:bCs/>
        </w:rPr>
        <w:t>GN-2350-15</w:t>
      </w:r>
      <w:r w:rsidRPr="00436FAA">
        <w:rPr>
          <w:rFonts w:ascii="Verdana" w:hAnsi="Verdana"/>
        </w:rPr>
        <w:t xml:space="preserve">. Por tanto, aunque el </w:t>
      </w:r>
      <w:r w:rsidRPr="00436FAA">
        <w:rPr>
          <w:rFonts w:ascii="Verdana" w:hAnsi="Verdana"/>
          <w:highlight w:val="yellow"/>
        </w:rPr>
        <w:t>ROP final reproduce una referencia cruzada imprecisa en esta materia,</w:t>
      </w:r>
      <w:r w:rsidRPr="00436FAA">
        <w:rPr>
          <w:rFonts w:ascii="Verdana" w:hAnsi="Verdana"/>
        </w:rPr>
        <w:t xml:space="preserve"> el Plan Operativo debe ajustarse a la nomenclatura del convenio suscrito. </w:t>
      </w:r>
    </w:p>
    <w:p w14:paraId="09439E21" w14:textId="6F00624C" w:rsidR="00436FAA" w:rsidRPr="00436FAA" w:rsidRDefault="00436FAA" w:rsidP="00436FAA">
      <w:pPr>
        <w:pStyle w:val="Heading1"/>
      </w:pPr>
      <w:bookmarkStart w:id="11" w:name="_Toc226720802"/>
      <w:r w:rsidRPr="00436FAA">
        <w:t>Seguimiento, informes y conservación documental</w:t>
      </w:r>
      <w:bookmarkEnd w:id="11"/>
    </w:p>
    <w:p w14:paraId="0215FD28" w14:textId="77777777" w:rsidR="00436FAA" w:rsidRPr="00436FAA" w:rsidRDefault="00436FAA" w:rsidP="00436FAA">
      <w:pPr>
        <w:spacing w:after="240"/>
        <w:rPr>
          <w:rFonts w:ascii="Verdana" w:hAnsi="Verdana"/>
        </w:rPr>
      </w:pPr>
      <w:r w:rsidRPr="00436FAA">
        <w:rPr>
          <w:rFonts w:ascii="Verdana" w:hAnsi="Verdana"/>
        </w:rPr>
        <w:t xml:space="preserve">La Secretaría Distrital de Ambiente deberá presentar al Banco informes semestrales de progreso dentro de los sesenta días siguientes a la finalización de cada semestre calendario. Estos informes deberán incluir el estado del avance físico y financiero del proyecto, los productos y resultados alcanzados, el informe de actividades realizadas y el cronograma de trabajo para el periodo siguiente. Asimismo, deberá presentarse un informe final dentro de los seis meses siguientes a la finalización de la última actividad del proyecto. </w:t>
      </w:r>
    </w:p>
    <w:p w14:paraId="209D9E9B" w14:textId="77777777" w:rsidR="00436FAA" w:rsidRPr="00436FAA" w:rsidRDefault="00436FAA" w:rsidP="00436FAA">
      <w:pPr>
        <w:spacing w:after="240"/>
        <w:rPr>
          <w:rFonts w:ascii="Verdana" w:hAnsi="Verdana"/>
        </w:rPr>
      </w:pPr>
      <w:r w:rsidRPr="00436FAA">
        <w:rPr>
          <w:rFonts w:ascii="Verdana" w:hAnsi="Verdana"/>
        </w:rPr>
        <w:t xml:space="preserve">La Secretaría se compromete además a mantener controles internos que aseguren el uso adecuado de los recursos, la salvaguarda de los activos del proyecto, la debida autorización y ejecución de transacciones y decisiones, y la disponibilidad de información oportuna y confiable. De igual manera, deberá conservar los documentos y registros originales del proyecto por un período mínimo de tres años después del vencimiento del plazo para el desembolso o cualquiera de sus extensiones. </w:t>
      </w:r>
    </w:p>
    <w:p w14:paraId="59DA6731" w14:textId="76C07ED7" w:rsidR="00436FAA" w:rsidRPr="00436FAA" w:rsidRDefault="00436FAA" w:rsidP="00436FAA">
      <w:pPr>
        <w:spacing w:after="240"/>
        <w:rPr>
          <w:rFonts w:ascii="Verdana" w:hAnsi="Verdana"/>
        </w:rPr>
      </w:pPr>
      <w:r w:rsidRPr="00436FAA">
        <w:rPr>
          <w:rFonts w:ascii="Verdana" w:hAnsi="Verdana"/>
        </w:rPr>
        <w:t xml:space="preserve">Adicionalmente, el convenio establece </w:t>
      </w:r>
      <w:r w:rsidR="008E675F" w:rsidRPr="00436FAA">
        <w:rPr>
          <w:rFonts w:ascii="Verdana" w:hAnsi="Verdana"/>
        </w:rPr>
        <w:t>que,</w:t>
      </w:r>
      <w:r w:rsidRPr="00436FAA">
        <w:rPr>
          <w:rFonts w:ascii="Verdana" w:hAnsi="Verdana"/>
        </w:rPr>
        <w:t xml:space="preserve"> en los documentos de licitación, solicitudes de propuestas y contratos financiados con recursos de la contribución debe incluirse la obligación de que proveedores, contratistas y consultores conserven los documentos y registros relacionados con actividades financiadas por el Banco durante </w:t>
      </w:r>
      <w:r w:rsidRPr="00436FAA">
        <w:rPr>
          <w:rFonts w:ascii="Verdana" w:hAnsi="Verdana"/>
          <w:b/>
          <w:bCs/>
        </w:rPr>
        <w:t>siete años</w:t>
      </w:r>
      <w:r w:rsidRPr="00436FAA">
        <w:rPr>
          <w:rFonts w:ascii="Verdana" w:hAnsi="Verdana"/>
        </w:rPr>
        <w:t xml:space="preserve"> después de terminado el trabajo correspondiente. Esta obligación debe quedar reflejada en la sección operativa de gestión documental del expediente. </w:t>
      </w:r>
    </w:p>
    <w:p w14:paraId="2AB5AD33" w14:textId="3C6B961E" w:rsidR="00436FAA" w:rsidRPr="00436FAA" w:rsidRDefault="00436FAA" w:rsidP="00436FAA">
      <w:pPr>
        <w:pStyle w:val="Heading1"/>
      </w:pPr>
      <w:bookmarkStart w:id="12" w:name="_Toc226720803"/>
      <w:r w:rsidRPr="00436FAA">
        <w:t>Auditoría externa y criterio de prevalencia normativa</w:t>
      </w:r>
      <w:bookmarkEnd w:id="12"/>
    </w:p>
    <w:p w14:paraId="16C254AC" w14:textId="77777777" w:rsidR="00436FAA" w:rsidRPr="00436FAA" w:rsidRDefault="00436FAA" w:rsidP="00436FAA">
      <w:pPr>
        <w:spacing w:after="240"/>
        <w:rPr>
          <w:rFonts w:ascii="Verdana" w:hAnsi="Verdana"/>
        </w:rPr>
      </w:pPr>
      <w:r w:rsidRPr="00436FAA">
        <w:rPr>
          <w:rFonts w:ascii="Verdana" w:hAnsi="Verdana"/>
        </w:rPr>
        <w:t xml:space="preserve">El ROP final menciona que los informes de auditoría financiera externa deberán presentarse dentro de los 120 días siguientes al cierre de cada ejercicio fiscal y también dentro de los 120 días siguientes al último desembolso. Sin embargo, el convenio suscrito dispone expresamente que los estados financieros auditados del proyecto deberán presentarse dentro de los </w:t>
      </w:r>
      <w:r w:rsidRPr="00436FAA">
        <w:rPr>
          <w:rFonts w:ascii="Verdana" w:hAnsi="Verdana"/>
          <w:b/>
          <w:bCs/>
        </w:rPr>
        <w:t>90 días posteriores al último desembolso de la contribución</w:t>
      </w:r>
      <w:r w:rsidRPr="00436FAA">
        <w:rPr>
          <w:rFonts w:ascii="Verdana" w:hAnsi="Verdana"/>
        </w:rPr>
        <w:t xml:space="preserve">. En consecuencia, para esta versión final ajustada del Plan Operativo se adopta como referencia obligatoria el plazo de </w:t>
      </w:r>
      <w:r w:rsidRPr="00436FAA">
        <w:rPr>
          <w:rFonts w:ascii="Verdana" w:hAnsi="Verdana"/>
          <w:b/>
          <w:bCs/>
        </w:rPr>
        <w:t>90 días posteriores al último desembolso</w:t>
      </w:r>
      <w:r w:rsidRPr="00436FAA">
        <w:rPr>
          <w:rFonts w:ascii="Verdana" w:hAnsi="Verdana"/>
        </w:rPr>
        <w:t xml:space="preserve">, por ser la disposición contenida en el convenio. </w:t>
      </w:r>
    </w:p>
    <w:p w14:paraId="3837077A" w14:textId="32988B99" w:rsidR="00436FAA" w:rsidRPr="00436FAA" w:rsidRDefault="00436FAA" w:rsidP="00436FAA">
      <w:pPr>
        <w:pStyle w:val="Heading1"/>
      </w:pPr>
      <w:bookmarkStart w:id="13" w:name="_Toc226720804"/>
      <w:r w:rsidRPr="00436FAA">
        <w:t>Cierre del proyecto</w:t>
      </w:r>
      <w:bookmarkEnd w:id="13"/>
    </w:p>
    <w:p w14:paraId="3226A79E" w14:textId="77777777" w:rsidR="00436FAA" w:rsidRPr="00436FAA" w:rsidRDefault="00436FAA" w:rsidP="00436FAA">
      <w:pPr>
        <w:spacing w:after="240"/>
        <w:rPr>
          <w:rFonts w:ascii="Verdana" w:hAnsi="Verdana"/>
        </w:rPr>
      </w:pPr>
      <w:r w:rsidRPr="00436FAA">
        <w:rPr>
          <w:rFonts w:ascii="Verdana" w:hAnsi="Verdana"/>
        </w:rPr>
        <w:t xml:space="preserve">Para efectos del expediente, el cierre operativo del convenio comprende las actividades posteriores al último desembolso: cierre de la evaluación final, cierre de la auditoría financiera, justificación de gastos a cierre del último desembolso, justificación de gastos a cierre del informe financiero e informe final. Después de ello, el proyecto deberá adelantar la devolución de fondos al Banco y la apropiación y ejecución de los rendimientos financieros, según corresponda. El informe del octavo semestre precisa que el período de cierre se extiende desde el 28 de enero de 2026 hasta el 28 de junio de 2026. </w:t>
      </w:r>
    </w:p>
    <w:p w14:paraId="0FF91924" w14:textId="3D346B74" w:rsidR="00436FAA" w:rsidRPr="00436FAA" w:rsidRDefault="00436FAA" w:rsidP="00436FAA">
      <w:pPr>
        <w:pStyle w:val="Heading1"/>
      </w:pPr>
      <w:bookmarkStart w:id="14" w:name="_Toc226720805"/>
      <w:r w:rsidRPr="00436FAA">
        <w:t>Cláusula de ajuste y actualización</w:t>
      </w:r>
      <w:bookmarkEnd w:id="14"/>
    </w:p>
    <w:p w14:paraId="62462B28" w14:textId="77777777" w:rsidR="00436FAA" w:rsidRPr="00436FAA" w:rsidRDefault="00436FAA" w:rsidP="00436FAA">
      <w:pPr>
        <w:spacing w:after="240"/>
        <w:rPr>
          <w:rFonts w:ascii="Verdana" w:hAnsi="Verdana"/>
        </w:rPr>
      </w:pPr>
      <w:r w:rsidRPr="00436FAA">
        <w:rPr>
          <w:rFonts w:ascii="Verdana" w:hAnsi="Verdana"/>
        </w:rPr>
        <w:t xml:space="preserve">Cualquier modificación al presente Plan Operativo que derive de nuevas condiciones de ejecución, ajustes presupuestales, redefinición de cronogramas o cambios aprobados en el Reglamento Operativo o en el Plan de Adquisiciones deberá ser tramitada por el Organismo Ejecutor y solo se entenderá vigente una vez cuente con la aprobación correspondiente del Banco. Esta regla asegura la coherencia entre el Plan Operativo, el Reglamento Operativo, el Convenio y los instrumentos de programación y seguimiento del proyecto. </w:t>
      </w:r>
    </w:p>
    <w:p w14:paraId="40BC015C" w14:textId="77777777" w:rsidR="005F7329" w:rsidRPr="00436FAA" w:rsidRDefault="005F7329" w:rsidP="006271F6">
      <w:pPr>
        <w:spacing w:after="240"/>
        <w:rPr>
          <w:rFonts w:ascii="Verdana" w:hAnsi="Verdana"/>
        </w:rPr>
      </w:pPr>
    </w:p>
    <w:sectPr w:rsidR="005F7329" w:rsidRPr="00436FAA">
      <w:headerReference w:type="default" r:id="rId8"/>
      <w:footerReference w:type="default" r:id="rId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A2E7C" w14:textId="77777777" w:rsidR="00997557" w:rsidRPr="00436FAA" w:rsidRDefault="00997557">
      <w:pPr>
        <w:spacing w:line="240" w:lineRule="auto"/>
      </w:pPr>
      <w:r w:rsidRPr="00436FAA">
        <w:separator/>
      </w:r>
    </w:p>
  </w:endnote>
  <w:endnote w:type="continuationSeparator" w:id="0">
    <w:p w14:paraId="313EE4E9" w14:textId="77777777" w:rsidR="00997557" w:rsidRPr="00436FAA" w:rsidRDefault="00997557">
      <w:pPr>
        <w:spacing w:line="240" w:lineRule="auto"/>
      </w:pPr>
      <w:r w:rsidRPr="00436FA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E0E8929-C99D-48E2-94F8-7E82A74419D3}"/>
    <w:embedItalic r:id="rId2" w:fontKey="{02A119D7-4641-4AD4-B7A0-6C35A184AFC0}"/>
  </w:font>
  <w:font w:name="Verdana">
    <w:panose1 w:val="020B0604030504040204"/>
    <w:charset w:val="00"/>
    <w:family w:val="swiss"/>
    <w:pitch w:val="variable"/>
    <w:sig w:usb0="A00006FF" w:usb1="4000205B" w:usb2="00000010" w:usb3="00000000" w:csb0="0000019F" w:csb1="00000000"/>
    <w:embedRegular r:id="rId3" w:fontKey="{D873C752-345A-4518-912C-70DDE4F82517}"/>
    <w:embedBold r:id="rId4" w:fontKey="{EBF96D54-6D89-4BB0-A03F-4CE4DA5D69B9}"/>
  </w:font>
  <w:font w:name="Cambria">
    <w:panose1 w:val="02040503050406030204"/>
    <w:charset w:val="00"/>
    <w:family w:val="roman"/>
    <w:pitch w:val="variable"/>
    <w:sig w:usb0="E00006FF" w:usb1="420024FF" w:usb2="02000000" w:usb3="00000000" w:csb0="0000019F" w:csb1="00000000"/>
    <w:embedRegular r:id="rId5" w:fontKey="{07C06F2D-50F8-4D44-969D-C34F519621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F6577" w14:textId="77777777" w:rsidR="00592BA7" w:rsidRPr="00436FAA" w:rsidRDefault="00592BA7">
    <w:pPr>
      <w:jc w:val="right"/>
    </w:pPr>
  </w:p>
  <w:tbl>
    <w:tblPr>
      <w:tblStyle w:val="a"/>
      <w:tblW w:w="955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0"/>
      <w:gridCol w:w="5055"/>
    </w:tblGrid>
    <w:tr w:rsidR="00592BA7" w:rsidRPr="00436FAA" w14:paraId="1F50337F" w14:textId="77777777">
      <w:trPr>
        <w:trHeight w:val="1396"/>
      </w:trPr>
      <w:tc>
        <w:tcPr>
          <w:tcW w:w="4500" w:type="dxa"/>
          <w:tcBorders>
            <w:top w:val="nil"/>
            <w:left w:val="nil"/>
            <w:bottom w:val="nil"/>
            <w:right w:val="nil"/>
          </w:tcBorders>
          <w:tcMar>
            <w:top w:w="100" w:type="dxa"/>
            <w:left w:w="100" w:type="dxa"/>
            <w:bottom w:w="100" w:type="dxa"/>
            <w:right w:w="100" w:type="dxa"/>
          </w:tcMar>
        </w:tcPr>
        <w:p w14:paraId="4D3468D6" w14:textId="77777777" w:rsidR="00592BA7" w:rsidRPr="00436FAA" w:rsidRDefault="00592BA7">
          <w:pPr>
            <w:keepLines/>
            <w:widowControl w:val="0"/>
            <w:spacing w:line="240" w:lineRule="auto"/>
            <w:rPr>
              <w:sz w:val="20"/>
              <w:szCs w:val="20"/>
            </w:rPr>
          </w:pPr>
        </w:p>
        <w:p w14:paraId="6EA6B514" w14:textId="77777777" w:rsidR="00592BA7" w:rsidRPr="00436FAA" w:rsidRDefault="00000000">
          <w:pPr>
            <w:keepLines/>
            <w:widowControl w:val="0"/>
            <w:spacing w:line="240" w:lineRule="auto"/>
            <w:rPr>
              <w:sz w:val="20"/>
              <w:szCs w:val="20"/>
            </w:rPr>
          </w:pPr>
          <w:r w:rsidRPr="00436FAA">
            <w:rPr>
              <w:sz w:val="20"/>
              <w:szCs w:val="20"/>
            </w:rPr>
            <w:t>Secretaría Distrital de Ambiente</w:t>
          </w:r>
        </w:p>
        <w:p w14:paraId="0C7DAA38" w14:textId="77777777" w:rsidR="00592BA7" w:rsidRPr="00436FAA" w:rsidRDefault="00000000">
          <w:pPr>
            <w:keepLines/>
            <w:widowControl w:val="0"/>
            <w:spacing w:line="240" w:lineRule="auto"/>
            <w:rPr>
              <w:sz w:val="20"/>
              <w:szCs w:val="20"/>
            </w:rPr>
          </w:pPr>
          <w:r w:rsidRPr="00436FAA">
            <w:rPr>
              <w:sz w:val="20"/>
              <w:szCs w:val="20"/>
            </w:rPr>
            <w:t>Av. Caracas N</w:t>
          </w:r>
          <w:r w:rsidRPr="00436FAA">
            <w:rPr>
              <w:sz w:val="20"/>
              <w:szCs w:val="20"/>
              <w:vertAlign w:val="superscript"/>
            </w:rPr>
            <w:t xml:space="preserve">0 </w:t>
          </w:r>
          <w:r w:rsidRPr="00436FAA">
            <w:rPr>
              <w:sz w:val="20"/>
              <w:szCs w:val="20"/>
            </w:rPr>
            <w:t>54-38</w:t>
          </w:r>
        </w:p>
        <w:p w14:paraId="4BF7D3D3" w14:textId="77777777" w:rsidR="00592BA7" w:rsidRPr="00436FAA" w:rsidRDefault="00000000">
          <w:pPr>
            <w:keepLines/>
            <w:widowControl w:val="0"/>
            <w:spacing w:line="240" w:lineRule="auto"/>
            <w:rPr>
              <w:sz w:val="20"/>
              <w:szCs w:val="20"/>
            </w:rPr>
          </w:pPr>
          <w:r w:rsidRPr="00436FAA">
            <w:rPr>
              <w:sz w:val="20"/>
              <w:szCs w:val="20"/>
            </w:rPr>
            <w:t xml:space="preserve">PBX: 3778899                                                           </w:t>
          </w:r>
          <w:hyperlink r:id="rId1">
            <w:r w:rsidR="00592BA7" w:rsidRPr="00436FAA">
              <w:rPr>
                <w:color w:val="1155CC"/>
                <w:sz w:val="20"/>
                <w:szCs w:val="20"/>
                <w:u w:val="single"/>
              </w:rPr>
              <w:t>www.ambientebogota.gov.co</w:t>
            </w:r>
          </w:hyperlink>
        </w:p>
        <w:p w14:paraId="7D86294E" w14:textId="77777777" w:rsidR="00592BA7" w:rsidRPr="00436FAA" w:rsidRDefault="00000000">
          <w:pPr>
            <w:keepLines/>
            <w:widowControl w:val="0"/>
            <w:spacing w:line="240" w:lineRule="auto"/>
            <w:rPr>
              <w:sz w:val="20"/>
              <w:szCs w:val="20"/>
            </w:rPr>
          </w:pPr>
          <w:r w:rsidRPr="00436FAA">
            <w:rPr>
              <w:sz w:val="20"/>
              <w:szCs w:val="20"/>
            </w:rPr>
            <w:t>Bogotá D.C. Colombia</w:t>
          </w:r>
        </w:p>
        <w:p w14:paraId="1EEB8582" w14:textId="77777777" w:rsidR="00592BA7" w:rsidRPr="00436FAA" w:rsidRDefault="00592BA7">
          <w:pPr>
            <w:widowControl w:val="0"/>
            <w:pBdr>
              <w:top w:val="nil"/>
              <w:left w:val="nil"/>
              <w:bottom w:val="nil"/>
              <w:right w:val="nil"/>
              <w:between w:val="nil"/>
            </w:pBdr>
            <w:spacing w:line="240" w:lineRule="auto"/>
          </w:pPr>
        </w:p>
      </w:tc>
      <w:tc>
        <w:tcPr>
          <w:tcW w:w="5055" w:type="dxa"/>
          <w:tcBorders>
            <w:top w:val="nil"/>
            <w:left w:val="nil"/>
            <w:bottom w:val="nil"/>
            <w:right w:val="nil"/>
          </w:tcBorders>
          <w:tcMar>
            <w:top w:w="100" w:type="dxa"/>
            <w:left w:w="100" w:type="dxa"/>
            <w:bottom w:w="100" w:type="dxa"/>
            <w:right w:w="100" w:type="dxa"/>
          </w:tcMar>
        </w:tcPr>
        <w:p w14:paraId="4C6D7C8E" w14:textId="77777777" w:rsidR="00592BA7" w:rsidRPr="00436FAA" w:rsidRDefault="00000000">
          <w:pPr>
            <w:widowControl w:val="0"/>
            <w:pBdr>
              <w:top w:val="nil"/>
              <w:left w:val="nil"/>
              <w:bottom w:val="nil"/>
              <w:right w:val="nil"/>
              <w:between w:val="nil"/>
            </w:pBdr>
            <w:spacing w:line="240" w:lineRule="auto"/>
            <w:jc w:val="right"/>
          </w:pPr>
          <w:r w:rsidRPr="00436FAA">
            <w:drawing>
              <wp:inline distT="114300" distB="114300" distL="114300" distR="114300" wp14:anchorId="46C1D467" wp14:editId="14FE411F">
                <wp:extent cx="1762125" cy="9525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762125" cy="952500"/>
                        </a:xfrm>
                        <a:prstGeom prst="rect">
                          <a:avLst/>
                        </a:prstGeom>
                        <a:ln/>
                      </pic:spPr>
                    </pic:pic>
                  </a:graphicData>
                </a:graphic>
              </wp:inline>
            </w:drawing>
          </w:r>
        </w:p>
      </w:tc>
    </w:tr>
  </w:tbl>
  <w:p w14:paraId="62D455CB" w14:textId="77777777" w:rsidR="00592BA7" w:rsidRPr="00436FAA" w:rsidRDefault="00592BA7">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02919" w14:textId="77777777" w:rsidR="00997557" w:rsidRPr="00436FAA" w:rsidRDefault="00997557">
      <w:pPr>
        <w:spacing w:line="240" w:lineRule="auto"/>
      </w:pPr>
      <w:r w:rsidRPr="00436FAA">
        <w:separator/>
      </w:r>
    </w:p>
  </w:footnote>
  <w:footnote w:type="continuationSeparator" w:id="0">
    <w:p w14:paraId="717A85C8" w14:textId="77777777" w:rsidR="00997557" w:rsidRPr="00436FAA" w:rsidRDefault="00997557">
      <w:pPr>
        <w:spacing w:line="240" w:lineRule="auto"/>
      </w:pPr>
      <w:r w:rsidRPr="00436FA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7E0FF" w14:textId="77777777" w:rsidR="00592BA7" w:rsidRDefault="00000000">
    <w:pPr>
      <w:jc w:val="center"/>
    </w:pPr>
    <w:r w:rsidRPr="00436FAA">
      <w:drawing>
        <wp:inline distT="114300" distB="114300" distL="114300" distR="114300" wp14:anchorId="28146494" wp14:editId="31633A56">
          <wp:extent cx="2638425" cy="84772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638425" cy="847725"/>
                  </a:xfrm>
                  <a:prstGeom prst="rect">
                    <a:avLst/>
                  </a:prstGeom>
                  <a:ln/>
                </pic:spPr>
              </pic:pic>
            </a:graphicData>
          </a:graphic>
        </wp:inline>
      </w:drawing>
    </w:r>
  </w:p>
  <w:p w14:paraId="61E01AF3" w14:textId="77777777" w:rsidR="00436FAA" w:rsidRPr="00436FAA" w:rsidRDefault="00436FAA">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C7A58"/>
    <w:multiLevelType w:val="multilevel"/>
    <w:tmpl w:val="89C859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DFD0D35"/>
    <w:multiLevelType w:val="multilevel"/>
    <w:tmpl w:val="7CFC56B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3C2F1859"/>
    <w:multiLevelType w:val="multilevel"/>
    <w:tmpl w:val="8898AB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689256573">
    <w:abstractNumId w:val="0"/>
  </w:num>
  <w:num w:numId="2" w16cid:durableId="1797210687">
    <w:abstractNumId w:val="2"/>
  </w:num>
  <w:num w:numId="3" w16cid:durableId="12634932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2BA7"/>
    <w:rsid w:val="001414D6"/>
    <w:rsid w:val="00263B0B"/>
    <w:rsid w:val="00436FAA"/>
    <w:rsid w:val="00521A40"/>
    <w:rsid w:val="0052249B"/>
    <w:rsid w:val="00592BA7"/>
    <w:rsid w:val="005F7329"/>
    <w:rsid w:val="006271F6"/>
    <w:rsid w:val="007329F8"/>
    <w:rsid w:val="008E675F"/>
    <w:rsid w:val="00997557"/>
    <w:rsid w:val="00C67692"/>
    <w:rsid w:val="00DC5E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37ED68"/>
  <w15:docId w15:val="{674D72C2-5D3C-48E8-8459-B81B9C785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CO"/>
    </w:rPr>
  </w:style>
  <w:style w:type="paragraph" w:styleId="Heading1">
    <w:name w:val="heading 1"/>
    <w:basedOn w:val="Normal"/>
    <w:next w:val="Normal"/>
    <w:uiPriority w:val="9"/>
    <w:qFormat/>
    <w:pPr>
      <w:keepNext/>
      <w:keepLines/>
      <w:numPr>
        <w:numId w:val="3"/>
      </w:numPr>
      <w:spacing w:before="400" w:after="120"/>
      <w:outlineLvl w:val="0"/>
    </w:pPr>
    <w:rPr>
      <w:sz w:val="40"/>
      <w:szCs w:val="40"/>
    </w:rPr>
  </w:style>
  <w:style w:type="paragraph" w:styleId="Heading2">
    <w:name w:val="heading 2"/>
    <w:basedOn w:val="Normal"/>
    <w:next w:val="Normal"/>
    <w:uiPriority w:val="9"/>
    <w:unhideWhenUsed/>
    <w:qFormat/>
    <w:pPr>
      <w:keepNext/>
      <w:keepLines/>
      <w:numPr>
        <w:ilvl w:val="1"/>
        <w:numId w:val="3"/>
      </w:numPr>
      <w:spacing w:before="360" w:after="120"/>
      <w:outlineLvl w:val="1"/>
    </w:pPr>
    <w:rPr>
      <w:sz w:val="32"/>
      <w:szCs w:val="32"/>
    </w:rPr>
  </w:style>
  <w:style w:type="paragraph" w:styleId="Heading3">
    <w:name w:val="heading 3"/>
    <w:basedOn w:val="Normal"/>
    <w:next w:val="Normal"/>
    <w:uiPriority w:val="9"/>
    <w:semiHidden/>
    <w:unhideWhenUsed/>
    <w:qFormat/>
    <w:pPr>
      <w:keepNext/>
      <w:keepLines/>
      <w:numPr>
        <w:ilvl w:val="2"/>
        <w:numId w:val="3"/>
      </w:numPr>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numPr>
        <w:ilvl w:val="3"/>
        <w:numId w:val="3"/>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3"/>
      </w:numPr>
      <w:spacing w:before="240" w:after="80"/>
      <w:outlineLvl w:val="4"/>
    </w:pPr>
    <w:rPr>
      <w:color w:val="666666"/>
    </w:rPr>
  </w:style>
  <w:style w:type="paragraph" w:styleId="Heading6">
    <w:name w:val="heading 6"/>
    <w:basedOn w:val="Normal"/>
    <w:next w:val="Normal"/>
    <w:uiPriority w:val="9"/>
    <w:semiHidden/>
    <w:unhideWhenUsed/>
    <w:qFormat/>
    <w:pPr>
      <w:keepNext/>
      <w:keepLines/>
      <w:numPr>
        <w:ilvl w:val="5"/>
        <w:numId w:val="3"/>
      </w:numPr>
      <w:spacing w:before="240" w:after="80"/>
      <w:outlineLvl w:val="5"/>
    </w:pPr>
    <w:rPr>
      <w:i/>
      <w:iCs/>
      <w:color w:val="666666"/>
    </w:rPr>
  </w:style>
  <w:style w:type="paragraph" w:styleId="Heading7">
    <w:name w:val="heading 7"/>
    <w:basedOn w:val="Normal"/>
    <w:next w:val="Normal"/>
    <w:link w:val="Heading7Char"/>
    <w:uiPriority w:val="9"/>
    <w:semiHidden/>
    <w:unhideWhenUsed/>
    <w:qFormat/>
    <w:rsid w:val="007329F8"/>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329F8"/>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329F8"/>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character" w:customStyle="1" w:styleId="Heading7Char">
    <w:name w:val="Heading 7 Char"/>
    <w:basedOn w:val="DefaultParagraphFont"/>
    <w:link w:val="Heading7"/>
    <w:uiPriority w:val="9"/>
    <w:semiHidden/>
    <w:rsid w:val="007329F8"/>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329F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329F8"/>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6271F6"/>
    <w:pPr>
      <w:numPr>
        <w:numId w:val="0"/>
      </w:num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6271F6"/>
    <w:pPr>
      <w:spacing w:after="100"/>
    </w:pPr>
  </w:style>
  <w:style w:type="paragraph" w:styleId="TOC2">
    <w:name w:val="toc 2"/>
    <w:basedOn w:val="Normal"/>
    <w:next w:val="Normal"/>
    <w:autoRedefine/>
    <w:uiPriority w:val="39"/>
    <w:unhideWhenUsed/>
    <w:rsid w:val="006271F6"/>
    <w:pPr>
      <w:spacing w:after="100"/>
      <w:ind w:left="220"/>
    </w:pPr>
  </w:style>
  <w:style w:type="character" w:styleId="Hyperlink">
    <w:name w:val="Hyperlink"/>
    <w:basedOn w:val="DefaultParagraphFont"/>
    <w:uiPriority w:val="99"/>
    <w:unhideWhenUsed/>
    <w:rsid w:val="006271F6"/>
    <w:rPr>
      <w:color w:val="0000FF" w:themeColor="hyperlink"/>
      <w:u w:val="single"/>
    </w:rPr>
  </w:style>
  <w:style w:type="paragraph" w:styleId="Header">
    <w:name w:val="header"/>
    <w:basedOn w:val="Normal"/>
    <w:link w:val="HeaderChar"/>
    <w:uiPriority w:val="99"/>
    <w:unhideWhenUsed/>
    <w:rsid w:val="00436FAA"/>
    <w:pPr>
      <w:tabs>
        <w:tab w:val="center" w:pos="4680"/>
        <w:tab w:val="right" w:pos="9360"/>
      </w:tabs>
      <w:spacing w:line="240" w:lineRule="auto"/>
    </w:pPr>
  </w:style>
  <w:style w:type="character" w:customStyle="1" w:styleId="HeaderChar">
    <w:name w:val="Header Char"/>
    <w:basedOn w:val="DefaultParagraphFont"/>
    <w:link w:val="Header"/>
    <w:uiPriority w:val="99"/>
    <w:rsid w:val="00436FAA"/>
    <w:rPr>
      <w:lang w:val="es-CO"/>
    </w:rPr>
  </w:style>
  <w:style w:type="paragraph" w:styleId="Footer">
    <w:name w:val="footer"/>
    <w:basedOn w:val="Normal"/>
    <w:link w:val="FooterChar"/>
    <w:uiPriority w:val="99"/>
    <w:unhideWhenUsed/>
    <w:rsid w:val="00436FAA"/>
    <w:pPr>
      <w:tabs>
        <w:tab w:val="center" w:pos="4680"/>
        <w:tab w:val="right" w:pos="9360"/>
      </w:tabs>
      <w:spacing w:line="240" w:lineRule="auto"/>
    </w:pPr>
  </w:style>
  <w:style w:type="character" w:customStyle="1" w:styleId="FooterChar">
    <w:name w:val="Footer Char"/>
    <w:basedOn w:val="DefaultParagraphFont"/>
    <w:link w:val="Footer"/>
    <w:uiPriority w:val="99"/>
    <w:rsid w:val="00436FAA"/>
    <w:rPr>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www.ambientebogot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0F9B43-B144-4584-832F-0BF38194A6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633</TotalTime>
  <Pages>1</Pages>
  <Words>2728</Words>
  <Characters>15009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Secretaría Distrital de Ambiente</dc:creator>
  <cp:lastModifiedBy>Kenneth Ochoa</cp:lastModifiedBy>
  <cp:revision>4</cp:revision>
  <dcterms:created xsi:type="dcterms:W3CDTF">2026-04-10T16:53:00Z</dcterms:created>
  <dcterms:modified xsi:type="dcterms:W3CDTF">2026-04-14T17:07:00Z</dcterms:modified>
</cp:coreProperties>
</file>